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C" w:rsidRDefault="004E38BB" w:rsidP="0092434F">
      <w:pPr>
        <w:spacing w:line="540" w:lineRule="exact"/>
        <w:ind w:firstLineChars="50" w:firstLine="160"/>
        <w:jc w:val="center"/>
        <w:rPr>
          <w:rFonts w:ascii="仿宋" w:eastAsia="仿宋" w:hAnsi="仿宋"/>
          <w:b/>
          <w:color w:val="000000" w:themeColor="text1"/>
          <w:sz w:val="32"/>
          <w:szCs w:val="32"/>
        </w:rPr>
      </w:pPr>
      <w:r w:rsidRPr="004E38BB">
        <w:rPr>
          <w:rFonts w:ascii="仿宋" w:eastAsia="仿宋" w:hAnsi="仿宋"/>
          <w:b/>
          <w:color w:val="000000" w:themeColor="text1"/>
          <w:sz w:val="32"/>
          <w:szCs w:val="32"/>
        </w:rPr>
        <w:t>平安基金管理有限公司</w:t>
      </w:r>
    </w:p>
    <w:p w:rsidR="00BB3501" w:rsidRDefault="005E088E" w:rsidP="0092434F">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Pr>
          <w:rFonts w:ascii="仿宋" w:eastAsia="仿宋" w:hAnsi="仿宋"/>
          <w:b/>
          <w:color w:val="000000" w:themeColor="text1"/>
          <w:sz w:val="32"/>
          <w:szCs w:val="32"/>
        </w:rPr>
        <w:t>部分</w:t>
      </w:r>
      <w:r w:rsidR="00594EF9">
        <w:rPr>
          <w:rFonts w:ascii="仿宋" w:eastAsia="仿宋" w:hAnsi="仿宋" w:hint="eastAsia"/>
          <w:b/>
          <w:color w:val="000000" w:themeColor="text1"/>
          <w:sz w:val="32"/>
          <w:szCs w:val="32"/>
        </w:rPr>
        <w:t>基金</w:t>
      </w:r>
      <w:r w:rsidR="00144973">
        <w:rPr>
          <w:rFonts w:ascii="仿宋" w:eastAsia="仿宋" w:hAnsi="仿宋"/>
          <w:b/>
          <w:color w:val="000000" w:themeColor="text1"/>
          <w:sz w:val="32"/>
          <w:szCs w:val="32"/>
        </w:rPr>
        <w:t>2021年</w:t>
      </w:r>
      <w:r w:rsidR="000A3A40">
        <w:rPr>
          <w:rFonts w:ascii="仿宋" w:eastAsia="仿宋" w:hAnsi="仿宋" w:hint="eastAsia"/>
          <w:b/>
          <w:color w:val="000000" w:themeColor="text1"/>
          <w:sz w:val="32"/>
          <w:szCs w:val="32"/>
        </w:rPr>
        <w:t>第</w:t>
      </w:r>
      <w:r w:rsidR="004A514F">
        <w:rPr>
          <w:rFonts w:ascii="仿宋" w:eastAsia="仿宋" w:hAnsi="仿宋"/>
          <w:b/>
          <w:color w:val="000000" w:themeColor="text1"/>
          <w:sz w:val="32"/>
          <w:szCs w:val="32"/>
        </w:rPr>
        <w:t>3</w:t>
      </w:r>
      <w:r w:rsidR="000A3A40">
        <w:rPr>
          <w:rFonts w:ascii="仿宋" w:eastAsia="仿宋" w:hAnsi="仿宋" w:hint="eastAsia"/>
          <w:b/>
          <w:color w:val="000000" w:themeColor="text1"/>
          <w:sz w:val="32"/>
          <w:szCs w:val="32"/>
        </w:rPr>
        <w:t>季度</w:t>
      </w:r>
      <w:r w:rsidR="0014497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144973" w:rsidRDefault="00B16987" w:rsidP="0092434F">
      <w:pPr>
        <w:spacing w:line="540" w:lineRule="exact"/>
        <w:ind w:firstLineChars="50" w:firstLine="160"/>
        <w:jc w:val="center"/>
        <w:rPr>
          <w:rFonts w:ascii="仿宋" w:eastAsia="仿宋" w:hAnsi="仿宋"/>
          <w:b/>
          <w:color w:val="000000" w:themeColor="text1"/>
          <w:sz w:val="32"/>
          <w:szCs w:val="32"/>
        </w:rPr>
      </w:pPr>
    </w:p>
    <w:p w:rsidR="00BB3501" w:rsidRPr="00B16987" w:rsidRDefault="00743DAF" w:rsidP="00CE1D19">
      <w:pPr>
        <w:spacing w:line="540" w:lineRule="exact"/>
        <w:ind w:firstLineChars="200" w:firstLine="640"/>
        <w:rPr>
          <w:rFonts w:ascii="仿宋" w:eastAsia="仿宋" w:hAnsi="仿宋"/>
          <w:color w:val="000000" w:themeColor="text1"/>
          <w:sz w:val="32"/>
          <w:szCs w:val="32"/>
        </w:rPr>
      </w:pPr>
      <w:r w:rsidRPr="004E38BB">
        <w:rPr>
          <w:rFonts w:ascii="仿宋" w:eastAsia="仿宋" w:hAnsi="仿宋"/>
          <w:color w:val="000000" w:themeColor="text1"/>
          <w:sz w:val="32"/>
          <w:szCs w:val="32"/>
        </w:rPr>
        <w:t>平安基金管理有限公司</w:t>
      </w:r>
      <w:r>
        <w:rPr>
          <w:rFonts w:ascii="仿宋" w:eastAsia="仿宋" w:hAnsi="仿宋" w:hint="eastAsia"/>
          <w:color w:val="000000" w:themeColor="text1"/>
          <w:sz w:val="32"/>
          <w:szCs w:val="32"/>
        </w:rPr>
        <w:t>（以下简称“本公司”）</w:t>
      </w:r>
      <w:r w:rsidR="00B16987" w:rsidRPr="0043655D">
        <w:rPr>
          <w:rFonts w:ascii="仿宋" w:eastAsia="仿宋" w:hAnsi="仿宋" w:hint="eastAsia"/>
          <w:color w:val="000000" w:themeColor="text1"/>
          <w:sz w:val="32"/>
          <w:szCs w:val="32"/>
        </w:rPr>
        <w:t>董事会及董事保证</w:t>
      </w:r>
      <w:r w:rsidR="00CE1D19">
        <w:rPr>
          <w:rFonts w:ascii="仿宋" w:eastAsia="仿宋" w:hAnsi="仿宋" w:hint="eastAsia"/>
          <w:color w:val="000000" w:themeColor="text1"/>
          <w:sz w:val="32"/>
          <w:szCs w:val="32"/>
        </w:rPr>
        <w:t>旗下</w:t>
      </w:r>
      <w:r w:rsidR="00B16987" w:rsidRPr="00B16987">
        <w:rPr>
          <w:rFonts w:ascii="仿宋" w:eastAsia="仿宋" w:hAnsi="仿宋" w:hint="eastAsia"/>
          <w:color w:val="000000" w:themeColor="text1"/>
          <w:sz w:val="32"/>
          <w:szCs w:val="32"/>
        </w:rPr>
        <w:t>基金</w:t>
      </w:r>
      <w:r w:rsidR="00144973">
        <w:rPr>
          <w:rFonts w:ascii="仿宋" w:eastAsia="仿宋" w:hAnsi="仿宋"/>
          <w:color w:val="000000" w:themeColor="text1"/>
          <w:sz w:val="32"/>
          <w:szCs w:val="32"/>
        </w:rPr>
        <w:t>2021年</w:t>
      </w:r>
      <w:r w:rsidR="000A3A40">
        <w:rPr>
          <w:rFonts w:ascii="仿宋" w:eastAsia="仿宋" w:hAnsi="仿宋" w:hint="eastAsia"/>
          <w:color w:val="000000" w:themeColor="text1"/>
          <w:sz w:val="32"/>
          <w:szCs w:val="32"/>
        </w:rPr>
        <w:t>第</w:t>
      </w:r>
      <w:r w:rsidR="004A514F">
        <w:rPr>
          <w:rFonts w:ascii="仿宋" w:eastAsia="仿宋" w:hAnsi="仿宋"/>
          <w:color w:val="000000" w:themeColor="text1"/>
          <w:sz w:val="32"/>
          <w:szCs w:val="32"/>
        </w:rPr>
        <w:t>3</w:t>
      </w:r>
      <w:r w:rsidR="000A3A40">
        <w:rPr>
          <w:rFonts w:ascii="仿宋" w:eastAsia="仿宋" w:hAnsi="仿宋" w:hint="eastAsia"/>
          <w:color w:val="000000" w:themeColor="text1"/>
          <w:sz w:val="32"/>
          <w:szCs w:val="32"/>
        </w:rPr>
        <w:t>季度</w:t>
      </w:r>
      <w:r w:rsidR="00144973">
        <w:rPr>
          <w:rFonts w:ascii="仿宋" w:eastAsia="仿宋" w:hAnsi="仿宋" w:hint="eastAsia"/>
          <w:color w:val="000000" w:themeColor="text1"/>
          <w:sz w:val="32"/>
          <w:szCs w:val="32"/>
        </w:rPr>
        <w:t>报告</w:t>
      </w:r>
      <w:r w:rsidR="00B16987"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Pr="00EB1F29" w:rsidRDefault="00A8056E" w:rsidP="0097177B">
      <w:pPr>
        <w:spacing w:line="540" w:lineRule="exact"/>
        <w:ind w:firstLineChars="200" w:firstLine="640"/>
        <w:rPr>
          <w:rFonts w:ascii="仿宋" w:eastAsia="仿宋" w:hAnsi="仿宋"/>
          <w:color w:val="000000" w:themeColor="text1"/>
          <w:sz w:val="16"/>
          <w:szCs w:val="16"/>
        </w:rPr>
      </w:pPr>
      <w:r w:rsidRPr="0097177B">
        <w:rPr>
          <w:rFonts w:ascii="仿宋" w:eastAsia="仿宋" w:hAnsi="仿宋"/>
          <w:color w:val="000000" w:themeColor="text1"/>
          <w:sz w:val="32"/>
          <w:szCs w:val="32"/>
        </w:rPr>
        <w:t>本公司</w:t>
      </w:r>
      <w:r>
        <w:rPr>
          <w:rFonts w:ascii="仿宋" w:eastAsia="仿宋" w:hAnsi="仿宋" w:hint="eastAsia"/>
          <w:color w:val="000000" w:themeColor="text1"/>
          <w:sz w:val="32"/>
          <w:szCs w:val="32"/>
        </w:rPr>
        <w:t>本次</w:t>
      </w:r>
      <w:r w:rsidRPr="0097177B">
        <w:rPr>
          <w:rFonts w:ascii="仿宋" w:eastAsia="仿宋" w:hAnsi="仿宋"/>
          <w:color w:val="000000" w:themeColor="text1"/>
          <w:sz w:val="32"/>
          <w:szCs w:val="32"/>
        </w:rPr>
        <w:t xml:space="preserve"> </w:t>
      </w:r>
      <w:r w:rsidR="00144973">
        <w:rPr>
          <w:rFonts w:ascii="仿宋" w:eastAsia="仿宋" w:hAnsi="仿宋"/>
          <w:color w:val="000000" w:themeColor="text1"/>
          <w:sz w:val="32"/>
          <w:szCs w:val="32"/>
        </w:rPr>
        <w:t>2021年</w:t>
      </w:r>
      <w:r w:rsidR="000A3A40">
        <w:rPr>
          <w:rFonts w:ascii="仿宋" w:eastAsia="仿宋" w:hAnsi="仿宋"/>
          <w:color w:val="000000" w:themeColor="text1"/>
          <w:sz w:val="32"/>
          <w:szCs w:val="32"/>
        </w:rPr>
        <w:t>第</w:t>
      </w:r>
      <w:r w:rsidR="004A514F">
        <w:rPr>
          <w:rFonts w:ascii="仿宋" w:eastAsia="仿宋" w:hAnsi="仿宋"/>
          <w:color w:val="000000" w:themeColor="text1"/>
          <w:sz w:val="32"/>
          <w:szCs w:val="32"/>
        </w:rPr>
        <w:t>3</w:t>
      </w:r>
      <w:r w:rsidR="000A3A40">
        <w:rPr>
          <w:rFonts w:ascii="仿宋" w:eastAsia="仿宋" w:hAnsi="仿宋"/>
          <w:color w:val="000000" w:themeColor="text1"/>
          <w:sz w:val="32"/>
          <w:szCs w:val="32"/>
        </w:rPr>
        <w:t>季度</w:t>
      </w:r>
      <w:r w:rsidR="00144973">
        <w:rPr>
          <w:rFonts w:ascii="仿宋" w:eastAsia="仿宋" w:hAnsi="仿宋"/>
          <w:color w:val="000000" w:themeColor="text1"/>
          <w:sz w:val="32"/>
          <w:szCs w:val="32"/>
        </w:rPr>
        <w:t>报告</w:t>
      </w:r>
      <w:r w:rsidRPr="0097177B">
        <w:rPr>
          <w:rFonts w:ascii="仿宋" w:eastAsia="仿宋" w:hAnsi="仿宋"/>
          <w:color w:val="000000" w:themeColor="text1"/>
          <w:sz w:val="32"/>
          <w:szCs w:val="32"/>
        </w:rPr>
        <w:t>涉及</w:t>
      </w:r>
      <w:r w:rsidR="00292827">
        <w:rPr>
          <w:rFonts w:ascii="仿宋" w:eastAsia="仿宋" w:hAnsi="仿宋" w:hint="eastAsia"/>
          <w:color w:val="000000" w:themeColor="text1"/>
          <w:sz w:val="32"/>
          <w:szCs w:val="32"/>
        </w:rPr>
        <w:t>部分</w:t>
      </w:r>
      <w:r w:rsidRPr="0097177B">
        <w:rPr>
          <w:rFonts w:ascii="仿宋" w:eastAsia="仿宋" w:hAnsi="仿宋"/>
          <w:color w:val="000000" w:themeColor="text1"/>
          <w:sz w:val="32"/>
          <w:szCs w:val="32"/>
        </w:rPr>
        <w:t>基金如下</w:t>
      </w:r>
      <w:r>
        <w:rPr>
          <w:rFonts w:ascii="仿宋" w:eastAsia="仿宋" w:hAnsi="仿宋" w:hint="eastAsia"/>
          <w:color w:val="000000" w:themeColor="text1"/>
          <w:sz w:val="32"/>
          <w:szCs w:val="32"/>
        </w:rPr>
        <w:t>：</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371"/>
      </w:tblGrid>
      <w:tr w:rsidR="000A3A40" w:rsidRPr="000A3A40" w:rsidTr="00EB1F29">
        <w:trPr>
          <w:trHeight w:val="288"/>
        </w:trPr>
        <w:tc>
          <w:tcPr>
            <w:tcW w:w="851" w:type="dxa"/>
            <w:shd w:val="clear" w:color="000000" w:fill="C5D9F1"/>
            <w:noWrap/>
            <w:vAlign w:val="center"/>
            <w:hideMark/>
          </w:tcPr>
          <w:p w:rsidR="000A3A40" w:rsidRPr="000A3A40" w:rsidRDefault="000A3A40" w:rsidP="000A3A40">
            <w:pPr>
              <w:widowControl/>
              <w:jc w:val="center"/>
              <w:rPr>
                <w:rFonts w:ascii="宋体" w:eastAsia="宋体" w:hAnsi="宋体" w:cs="宋体"/>
                <w:b/>
                <w:bCs/>
                <w:kern w:val="0"/>
                <w:sz w:val="22"/>
              </w:rPr>
            </w:pPr>
            <w:r w:rsidRPr="000A3A40">
              <w:rPr>
                <w:rFonts w:ascii="宋体" w:eastAsia="宋体" w:hAnsi="宋体" w:cs="宋体" w:hint="eastAsia"/>
                <w:b/>
                <w:bCs/>
                <w:kern w:val="0"/>
                <w:sz w:val="22"/>
              </w:rPr>
              <w:t>序号</w:t>
            </w:r>
          </w:p>
        </w:tc>
        <w:tc>
          <w:tcPr>
            <w:tcW w:w="7371" w:type="dxa"/>
            <w:shd w:val="clear" w:color="000000" w:fill="C5D9F1"/>
            <w:hideMark/>
          </w:tcPr>
          <w:p w:rsidR="000A3A40" w:rsidRPr="000A3A40" w:rsidRDefault="000A3A40" w:rsidP="000A3A40">
            <w:pPr>
              <w:widowControl/>
              <w:jc w:val="left"/>
              <w:rPr>
                <w:rFonts w:ascii="宋体" w:eastAsia="宋体" w:hAnsi="宋体" w:cs="宋体"/>
                <w:b/>
                <w:bCs/>
                <w:kern w:val="0"/>
                <w:sz w:val="22"/>
              </w:rPr>
            </w:pPr>
            <w:r w:rsidRPr="000A3A40">
              <w:rPr>
                <w:rFonts w:ascii="宋体" w:eastAsia="宋体" w:hAnsi="宋体" w:cs="宋体" w:hint="eastAsia"/>
                <w:b/>
                <w:bCs/>
                <w:kern w:val="0"/>
                <w:sz w:val="22"/>
              </w:rPr>
              <w:t>基金全称</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1</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平安中证500交易型开放式指数证券投资基金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2</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平安MSCI中国A股低波动交易型开放式指数证券投资基金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3</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平安中证5-10年期国债活跃券交易型开放式指数证券投资基金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4</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平安中债-中高等级公司债利差因子交易型开放式指数证券投资基金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5</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平安中证新能源汽车产业交易型开放式指数证券投资基金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6</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平安科技创新3年封闭运作灵活配置混合型证券投资基金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7</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平安中证光伏产业交易型开放式指数证券投资基金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8</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平安中证畜牧养殖交易型开放式指数证券投资基金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9</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平安鼎泰灵活配置混合型证券投资基金(LOF)</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10</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平安灵活配置混合型证券投资基金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11</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平安日增利货币市场基金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12</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平安财富宝货币市场基金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13</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平安新鑫先锋混合型证券投资基金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14</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平安智慧中国灵活配置混合型证券投资基金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15</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平安鑫享混合型证券投资基金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16</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平安安享灵活配置混合型证券投资基金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17</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平安安盈灵活配置混合型证券投资基金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18</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平安惠盈纯债债券型证券投资基金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19</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平安消费精选混合型证券投资基金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20</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平安鼎信债券型证券投资基金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21</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平安惠享纯债债券型证券投资基金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22</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平安惠融纯债债券型证券投资基金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23</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平安惠金定期开放债券型证券投资基金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24</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平安惠利纯债债券型证券投资基金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25</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平安惠隆纯债债券型证券投资基金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26</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平安金管家货币市场基金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27</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平安鑫利灵活配置混合型证券投资基金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bookmarkStart w:id="0" w:name="_GoBack"/>
            <w:bookmarkEnd w:id="0"/>
            <w:r w:rsidRPr="00D96B62">
              <w:rPr>
                <w:rFonts w:asciiTheme="majorEastAsia" w:eastAsiaTheme="majorEastAsia" w:hAnsiTheme="majorEastAsia" w:cs="Arial"/>
                <w:sz w:val="22"/>
              </w:rPr>
              <w:lastRenderedPageBreak/>
              <w:t>28</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平安转型创新灵活配置混合型证券投资基金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29</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平安惠泽纯债债券型证券投资基金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30</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平安沪深300指数量化增强证券投资基金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31</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平安合正定期开放纯债债券型发起式证券投资基金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32</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平安合瑞定期开放债券型发起式证券投资基金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33</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平安合韵定期开放纯债债券型发起式证券投资基金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34</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平安惠安纯债债券型证券投资基金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35</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平安合悦定期开放债券型发起式证券投资基金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36</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平安中证500交易型开放式指数证券投资基金联接基金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37</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平安惠锦纯债债券型证券投资基金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38</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平安惠鸿纯债债券型证券投资基金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39</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平安3-5年期政策性金融债债券型证券投资基金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40</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平安季添盈三个月定期开放债券型证券投资基金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41</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平安如意中短债债券型证券投资基金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42</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平安惠泰纯债债券型证券投资基金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43</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平安养老目标日期2035三年持有期混合型基金中基金(FOF)</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44</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平安惠添纯债债券型证券投资基金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45</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平安季开鑫三个月定期开放债券型证券投资基金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46</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平安季享裕三个月定期开放债券型证券投资基金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47</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平安合信3个月定期开放债券型发起式证券投资基金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48</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平安惠合纯债债券型证券投资基金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49</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平安乐顺39个月定期开放债券型证券投资基金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50</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平安增利六个月定期开放债券型证券投资基金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51</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平安科技创新混合型证券投资基金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52</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平安元盛超短债债券型证券投资基金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53</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平安合聚1年定期开放债券型发起式证券投资基金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54</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平安合享1年定期开放债券型发起式证券投资基金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55</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平安增鑫六个月定期开放债券型证券投资基金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56</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平安合兴1年定期开放债券型发起式证券投资基金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57</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平安惠铭纯债债券型证券投资基金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58</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平安中债1-5年政策性金融债指数证券投资基金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59</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平安瑞尚六个月持有期混合型证券投资基金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60</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平安稳健增长混合型证券投资基金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61</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平安季季享3个月持有期债券型证券投资基金</w:t>
            </w:r>
          </w:p>
        </w:tc>
      </w:tr>
      <w:tr w:rsidR="00D96B62" w:rsidRPr="000A3A40" w:rsidTr="00EB1F29">
        <w:trPr>
          <w:trHeight w:val="288"/>
        </w:trPr>
        <w:tc>
          <w:tcPr>
            <w:tcW w:w="851" w:type="dxa"/>
            <w:shd w:val="clear" w:color="auto" w:fill="auto"/>
            <w:noWrap/>
            <w:vAlign w:val="bottom"/>
            <w:hideMark/>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62</w:t>
            </w:r>
          </w:p>
        </w:tc>
        <w:tc>
          <w:tcPr>
            <w:tcW w:w="7371" w:type="dxa"/>
            <w:shd w:val="clear" w:color="auto" w:fill="auto"/>
            <w:hideMark/>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平安养老目标日期2045五年持有期混合型发起式基金中基金(FOF)</w:t>
            </w:r>
          </w:p>
        </w:tc>
      </w:tr>
      <w:tr w:rsidR="00D96B62" w:rsidRPr="000A3A40" w:rsidTr="00EB1F29">
        <w:trPr>
          <w:trHeight w:val="288"/>
        </w:trPr>
        <w:tc>
          <w:tcPr>
            <w:tcW w:w="851" w:type="dxa"/>
            <w:shd w:val="clear" w:color="auto" w:fill="auto"/>
            <w:noWrap/>
            <w:vAlign w:val="bottom"/>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63</w:t>
            </w:r>
          </w:p>
        </w:tc>
        <w:tc>
          <w:tcPr>
            <w:tcW w:w="7371" w:type="dxa"/>
            <w:shd w:val="clear" w:color="auto" w:fill="auto"/>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平安稳健养老目标一年持有期混合型基金中基金(FOF)</w:t>
            </w:r>
          </w:p>
        </w:tc>
      </w:tr>
      <w:tr w:rsidR="00D96B62" w:rsidRPr="000A3A40" w:rsidTr="00EB1F29">
        <w:trPr>
          <w:trHeight w:val="288"/>
        </w:trPr>
        <w:tc>
          <w:tcPr>
            <w:tcW w:w="851" w:type="dxa"/>
            <w:shd w:val="clear" w:color="auto" w:fill="auto"/>
            <w:noWrap/>
            <w:vAlign w:val="bottom"/>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64</w:t>
            </w:r>
          </w:p>
        </w:tc>
        <w:tc>
          <w:tcPr>
            <w:tcW w:w="7371" w:type="dxa"/>
            <w:shd w:val="clear" w:color="auto" w:fill="auto"/>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平安中证新能源汽车产业交易型开放式指数证券投资基金发起式联接基金</w:t>
            </w:r>
          </w:p>
        </w:tc>
      </w:tr>
      <w:tr w:rsidR="00D96B62" w:rsidRPr="000A3A40" w:rsidTr="00EB1F29">
        <w:trPr>
          <w:trHeight w:val="288"/>
        </w:trPr>
        <w:tc>
          <w:tcPr>
            <w:tcW w:w="851" w:type="dxa"/>
            <w:shd w:val="clear" w:color="auto" w:fill="auto"/>
            <w:noWrap/>
            <w:vAlign w:val="bottom"/>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65</w:t>
            </w:r>
          </w:p>
        </w:tc>
        <w:tc>
          <w:tcPr>
            <w:tcW w:w="7371" w:type="dxa"/>
            <w:shd w:val="clear" w:color="auto" w:fill="auto"/>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平安合颖定期开放纯债债券型发起式证券投资基金</w:t>
            </w:r>
          </w:p>
        </w:tc>
      </w:tr>
      <w:tr w:rsidR="00D96B62" w:rsidRPr="000A3A40" w:rsidTr="00EB1F29">
        <w:trPr>
          <w:trHeight w:val="288"/>
        </w:trPr>
        <w:tc>
          <w:tcPr>
            <w:tcW w:w="851" w:type="dxa"/>
            <w:shd w:val="clear" w:color="auto" w:fill="auto"/>
            <w:noWrap/>
            <w:vAlign w:val="bottom"/>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66</w:t>
            </w:r>
          </w:p>
        </w:tc>
        <w:tc>
          <w:tcPr>
            <w:tcW w:w="7371" w:type="dxa"/>
            <w:shd w:val="clear" w:color="auto" w:fill="auto"/>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平安惠诚纯债债券型证券投资基金</w:t>
            </w:r>
          </w:p>
        </w:tc>
      </w:tr>
      <w:tr w:rsidR="00D96B62" w:rsidRPr="000A3A40" w:rsidTr="00EB1F29">
        <w:trPr>
          <w:trHeight w:val="288"/>
        </w:trPr>
        <w:tc>
          <w:tcPr>
            <w:tcW w:w="851" w:type="dxa"/>
            <w:shd w:val="clear" w:color="auto" w:fill="auto"/>
            <w:noWrap/>
            <w:vAlign w:val="bottom"/>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67</w:t>
            </w:r>
          </w:p>
        </w:tc>
        <w:tc>
          <w:tcPr>
            <w:tcW w:w="7371" w:type="dxa"/>
            <w:shd w:val="clear" w:color="auto" w:fill="auto"/>
          </w:tcPr>
          <w:p w:rsidR="00D96B62" w:rsidRPr="00BD73A3" w:rsidRDefault="00D96B62" w:rsidP="00D96B62">
            <w:pPr>
              <w:widowControl/>
              <w:jc w:val="left"/>
              <w:rPr>
                <w:rFonts w:ascii="宋体" w:eastAsia="宋体" w:hAnsi="宋体" w:cs="宋体"/>
                <w:kern w:val="0"/>
                <w:sz w:val="22"/>
              </w:rPr>
            </w:pPr>
            <w:r w:rsidRPr="00BD73A3">
              <w:rPr>
                <w:rFonts w:ascii="宋体" w:eastAsia="宋体" w:hAnsi="宋体" w:cs="宋体" w:hint="eastAsia"/>
                <w:kern w:val="0"/>
                <w:sz w:val="22"/>
              </w:rPr>
              <w:t>平安惠文纯债债券型证券投资基金</w:t>
            </w:r>
          </w:p>
        </w:tc>
      </w:tr>
      <w:tr w:rsidR="00D96B62" w:rsidRPr="000A3A40" w:rsidTr="00EB1F29">
        <w:trPr>
          <w:trHeight w:val="288"/>
        </w:trPr>
        <w:tc>
          <w:tcPr>
            <w:tcW w:w="851" w:type="dxa"/>
            <w:shd w:val="clear" w:color="auto" w:fill="auto"/>
            <w:noWrap/>
            <w:vAlign w:val="bottom"/>
          </w:tcPr>
          <w:p w:rsidR="00D96B62" w:rsidRPr="00D96B62" w:rsidRDefault="00D96B62" w:rsidP="00D96B62">
            <w:pPr>
              <w:widowControl/>
              <w:jc w:val="center"/>
              <w:rPr>
                <w:rFonts w:asciiTheme="majorEastAsia" w:eastAsiaTheme="majorEastAsia" w:hAnsiTheme="majorEastAsia" w:cs="宋体"/>
                <w:kern w:val="0"/>
                <w:sz w:val="22"/>
              </w:rPr>
            </w:pPr>
            <w:r w:rsidRPr="00D96B62">
              <w:rPr>
                <w:rFonts w:asciiTheme="majorEastAsia" w:eastAsiaTheme="majorEastAsia" w:hAnsiTheme="majorEastAsia" w:cs="Arial"/>
                <w:sz w:val="22"/>
              </w:rPr>
              <w:t>68</w:t>
            </w:r>
          </w:p>
        </w:tc>
        <w:tc>
          <w:tcPr>
            <w:tcW w:w="7371" w:type="dxa"/>
            <w:shd w:val="clear" w:color="auto" w:fill="auto"/>
          </w:tcPr>
          <w:p w:rsidR="00D96B62" w:rsidRPr="00D83B7A" w:rsidRDefault="00D96B62" w:rsidP="00D96B62">
            <w:pPr>
              <w:widowControl/>
              <w:jc w:val="left"/>
              <w:rPr>
                <w:rFonts w:ascii="宋体" w:eastAsia="宋体" w:hAnsi="宋体" w:cs="宋体"/>
                <w:kern w:val="0"/>
                <w:sz w:val="22"/>
                <w:highlight w:val="yellow"/>
              </w:rPr>
            </w:pPr>
            <w:r w:rsidRPr="00C12A2F">
              <w:rPr>
                <w:rFonts w:ascii="宋体" w:eastAsia="宋体" w:hAnsi="宋体" w:cs="宋体" w:hint="eastAsia"/>
                <w:kern w:val="0"/>
                <w:sz w:val="22"/>
              </w:rPr>
              <w:t>平安广州交投广河高速公路封闭式基础设施证券投资基金</w:t>
            </w:r>
          </w:p>
        </w:tc>
      </w:tr>
    </w:tbl>
    <w:p w:rsidR="00BB3501" w:rsidRPr="005A1AF7" w:rsidRDefault="00EB6EDC" w:rsidP="00144973">
      <w:pPr>
        <w:spacing w:before="240" w:line="540" w:lineRule="exact"/>
        <w:ind w:firstLineChars="177" w:firstLine="566"/>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 </w:t>
      </w:r>
      <w:r w:rsidR="00CE1D19">
        <w:rPr>
          <w:rFonts w:ascii="仿宋" w:eastAsia="仿宋" w:hAnsi="仿宋" w:hint="eastAsia"/>
          <w:color w:val="000000" w:themeColor="text1"/>
          <w:sz w:val="32"/>
          <w:szCs w:val="32"/>
        </w:rPr>
        <w:t>上述基金</w:t>
      </w:r>
      <w:r w:rsidR="00144973">
        <w:rPr>
          <w:rFonts w:ascii="仿宋" w:eastAsia="仿宋" w:hAnsi="仿宋"/>
          <w:color w:val="000000" w:themeColor="text1"/>
          <w:sz w:val="32"/>
          <w:szCs w:val="32"/>
        </w:rPr>
        <w:t>2021年</w:t>
      </w:r>
      <w:r w:rsidR="000A3A40">
        <w:rPr>
          <w:rFonts w:ascii="仿宋" w:eastAsia="仿宋" w:hAnsi="仿宋" w:hint="eastAsia"/>
          <w:color w:val="000000" w:themeColor="text1"/>
          <w:sz w:val="32"/>
          <w:szCs w:val="32"/>
        </w:rPr>
        <w:t>第</w:t>
      </w:r>
      <w:r w:rsidR="004A514F">
        <w:rPr>
          <w:rFonts w:ascii="仿宋" w:eastAsia="仿宋" w:hAnsi="仿宋"/>
          <w:color w:val="000000" w:themeColor="text1"/>
          <w:sz w:val="32"/>
          <w:szCs w:val="32"/>
        </w:rPr>
        <w:t>3</w:t>
      </w:r>
      <w:r w:rsidR="000A3A40">
        <w:rPr>
          <w:rFonts w:ascii="仿宋" w:eastAsia="仿宋" w:hAnsi="仿宋" w:hint="eastAsia"/>
          <w:color w:val="000000" w:themeColor="text1"/>
          <w:sz w:val="32"/>
          <w:szCs w:val="32"/>
        </w:rPr>
        <w:t>季度</w:t>
      </w:r>
      <w:r w:rsidR="00144973">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44385">
        <w:rPr>
          <w:rFonts w:ascii="仿宋" w:eastAsia="仿宋" w:hAnsi="仿宋" w:hint="eastAsia"/>
          <w:color w:val="000000" w:themeColor="text1"/>
          <w:sz w:val="32"/>
          <w:szCs w:val="32"/>
        </w:rPr>
        <w:t>2021</w:t>
      </w:r>
      <w:r w:rsidR="00BB3501" w:rsidRPr="000076CF">
        <w:rPr>
          <w:rFonts w:ascii="仿宋" w:eastAsia="仿宋" w:hAnsi="仿宋" w:hint="eastAsia"/>
          <w:color w:val="000000" w:themeColor="text1"/>
          <w:sz w:val="32"/>
          <w:szCs w:val="32"/>
        </w:rPr>
        <w:t>年</w:t>
      </w:r>
      <w:r w:rsidR="004A514F">
        <w:rPr>
          <w:rFonts w:ascii="仿宋" w:eastAsia="仿宋" w:hAnsi="仿宋"/>
          <w:color w:val="000000" w:themeColor="text1"/>
          <w:sz w:val="32"/>
          <w:szCs w:val="32"/>
        </w:rPr>
        <w:t>10</w:t>
      </w:r>
      <w:r w:rsidR="00B700C5">
        <w:rPr>
          <w:rFonts w:ascii="仿宋" w:eastAsia="仿宋" w:hAnsi="仿宋"/>
          <w:color w:val="000000" w:themeColor="text1"/>
          <w:sz w:val="32"/>
          <w:szCs w:val="32"/>
        </w:rPr>
        <w:t>月</w:t>
      </w:r>
      <w:r w:rsidR="004A514F">
        <w:rPr>
          <w:rFonts w:ascii="仿宋" w:eastAsia="仿宋" w:hAnsi="仿宋"/>
          <w:color w:val="000000" w:themeColor="text1"/>
          <w:sz w:val="32"/>
          <w:szCs w:val="32"/>
        </w:rPr>
        <w:t>27</w:t>
      </w:r>
      <w:r w:rsidR="00B700C5">
        <w:rPr>
          <w:rFonts w:ascii="仿宋" w:eastAsia="仿宋" w:hAnsi="仿宋"/>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C72EFF">
        <w:rPr>
          <w:rFonts w:ascii="仿宋" w:eastAsia="仿宋" w:hAnsi="仿宋" w:hint="eastAsia"/>
          <w:color w:val="000000" w:themeColor="text1"/>
          <w:sz w:val="32"/>
          <w:szCs w:val="32"/>
        </w:rPr>
        <w:t>（</w:t>
      </w:r>
      <w:hyperlink r:id="rId8" w:history="1">
        <w:r w:rsidR="00C72EFF" w:rsidRPr="00C72EFF">
          <w:rPr>
            <w:rFonts w:ascii="仿宋" w:eastAsia="仿宋" w:hAnsi="仿宋"/>
            <w:color w:val="000000" w:themeColor="text1"/>
            <w:sz w:val="32"/>
            <w:szCs w:val="32"/>
          </w:rPr>
          <w:t>http://fund.pingan.com/index.shtml</w:t>
        </w:r>
      </w:hyperlink>
      <w:r w:rsidR="00C72EF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123265">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75F36">
        <w:rPr>
          <w:rFonts w:ascii="仿宋" w:eastAsia="仿宋" w:hAnsi="仿宋" w:hint="eastAsia"/>
          <w:color w:val="000000" w:themeColor="text1"/>
          <w:sz w:val="32"/>
          <w:szCs w:val="32"/>
        </w:rPr>
        <w:t>4</w:t>
      </w:r>
      <w:r w:rsidR="00975F36">
        <w:rPr>
          <w:rFonts w:ascii="仿宋" w:eastAsia="仿宋" w:hAnsi="仿宋"/>
          <w:color w:val="000000" w:themeColor="text1"/>
          <w:sz w:val="32"/>
          <w:szCs w:val="32"/>
        </w:rPr>
        <w:t>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800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4800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sidRPr="004E38BB">
        <w:rPr>
          <w:rFonts w:ascii="仿宋" w:eastAsia="仿宋" w:hAnsi="仿宋"/>
          <w:color w:val="000000" w:themeColor="text1"/>
          <w:sz w:val="32"/>
          <w:szCs w:val="32"/>
        </w:rPr>
        <w:t>平安基金管理有限公司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44385">
        <w:rPr>
          <w:rFonts w:ascii="仿宋" w:eastAsia="仿宋" w:hAnsi="仿宋" w:hint="eastAsia"/>
          <w:color w:val="000000" w:themeColor="text1"/>
          <w:sz w:val="32"/>
          <w:szCs w:val="32"/>
        </w:rPr>
        <w:t>2021</w:t>
      </w:r>
      <w:r w:rsidR="00544385" w:rsidRPr="000076CF">
        <w:rPr>
          <w:rFonts w:ascii="仿宋" w:eastAsia="仿宋" w:hAnsi="仿宋" w:hint="eastAsia"/>
          <w:color w:val="000000" w:themeColor="text1"/>
          <w:sz w:val="32"/>
          <w:szCs w:val="32"/>
        </w:rPr>
        <w:t>年</w:t>
      </w:r>
      <w:r w:rsidR="004A514F">
        <w:rPr>
          <w:rFonts w:ascii="仿宋" w:eastAsia="仿宋" w:hAnsi="仿宋"/>
          <w:color w:val="000000" w:themeColor="text1"/>
          <w:sz w:val="32"/>
          <w:szCs w:val="32"/>
        </w:rPr>
        <w:t>10</w:t>
      </w:r>
      <w:r w:rsidR="00544385">
        <w:rPr>
          <w:rFonts w:ascii="仿宋" w:eastAsia="仿宋" w:hAnsi="仿宋" w:hint="eastAsia"/>
          <w:color w:val="000000" w:themeColor="text1"/>
          <w:sz w:val="32"/>
          <w:szCs w:val="32"/>
        </w:rPr>
        <w:t>月</w:t>
      </w:r>
      <w:r w:rsidR="004A514F">
        <w:rPr>
          <w:rFonts w:ascii="仿宋" w:eastAsia="仿宋" w:hAnsi="仿宋"/>
          <w:color w:val="000000" w:themeColor="text1"/>
          <w:sz w:val="32"/>
          <w:szCs w:val="32"/>
        </w:rPr>
        <w:t>27</w:t>
      </w:r>
      <w:r w:rsidR="00544385" w:rsidRPr="000076CF">
        <w:rPr>
          <w:rFonts w:ascii="仿宋" w:eastAsia="仿宋" w:hAnsi="仿宋" w:hint="eastAsia"/>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62" w:rsidRDefault="008C5562" w:rsidP="009A149B">
      <w:r>
        <w:separator/>
      </w:r>
    </w:p>
  </w:endnote>
  <w:endnote w:type="continuationSeparator" w:id="0">
    <w:p w:rsidR="008C5562" w:rsidRDefault="008C556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C7FA0" w:rsidRDefault="00412C12">
        <w:pPr>
          <w:pStyle w:val="a4"/>
          <w:jc w:val="center"/>
        </w:pPr>
        <w:r>
          <w:fldChar w:fldCharType="begin"/>
        </w:r>
        <w:r w:rsidR="000C7FA0">
          <w:instrText>PAGE   \* MERGEFORMAT</w:instrText>
        </w:r>
        <w:r>
          <w:fldChar w:fldCharType="separate"/>
        </w:r>
        <w:r w:rsidR="0092434F" w:rsidRPr="0092434F">
          <w:rPr>
            <w:noProof/>
            <w:lang w:val="zh-CN"/>
          </w:rPr>
          <w:t>2</w:t>
        </w:r>
        <w:r>
          <w:fldChar w:fldCharType="end"/>
        </w:r>
      </w:p>
    </w:sdtContent>
  </w:sdt>
  <w:p w:rsidR="000C7FA0" w:rsidRDefault="000C7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C7FA0" w:rsidRDefault="00412C12">
        <w:pPr>
          <w:pStyle w:val="a4"/>
          <w:jc w:val="center"/>
        </w:pPr>
        <w:r>
          <w:fldChar w:fldCharType="begin"/>
        </w:r>
        <w:r w:rsidR="000C7FA0">
          <w:instrText>PAGE   \* MERGEFORMAT</w:instrText>
        </w:r>
        <w:r>
          <w:fldChar w:fldCharType="separate"/>
        </w:r>
        <w:r w:rsidR="0092434F" w:rsidRPr="0092434F">
          <w:rPr>
            <w:noProof/>
            <w:lang w:val="zh-CN"/>
          </w:rPr>
          <w:t>1</w:t>
        </w:r>
        <w:r>
          <w:fldChar w:fldCharType="end"/>
        </w:r>
      </w:p>
    </w:sdtContent>
  </w:sdt>
  <w:p w:rsidR="000C7FA0" w:rsidRDefault="000C7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62" w:rsidRDefault="008C5562" w:rsidP="009A149B">
      <w:r>
        <w:separator/>
      </w:r>
    </w:p>
  </w:footnote>
  <w:footnote w:type="continuationSeparator" w:id="0">
    <w:p w:rsidR="008C5562" w:rsidRDefault="008C556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50B5"/>
    <w:rsid w:val="0008010F"/>
    <w:rsid w:val="00081ADE"/>
    <w:rsid w:val="00084E7D"/>
    <w:rsid w:val="00087988"/>
    <w:rsid w:val="0009227A"/>
    <w:rsid w:val="00093E55"/>
    <w:rsid w:val="00094F20"/>
    <w:rsid w:val="000A0272"/>
    <w:rsid w:val="000A0ECE"/>
    <w:rsid w:val="000A3A40"/>
    <w:rsid w:val="000A454B"/>
    <w:rsid w:val="000A588E"/>
    <w:rsid w:val="000B53A5"/>
    <w:rsid w:val="000C06E1"/>
    <w:rsid w:val="000C1032"/>
    <w:rsid w:val="000C7FA0"/>
    <w:rsid w:val="000D18EF"/>
    <w:rsid w:val="000E13E9"/>
    <w:rsid w:val="000E7D66"/>
    <w:rsid w:val="000F07E6"/>
    <w:rsid w:val="000F407E"/>
    <w:rsid w:val="000F6458"/>
    <w:rsid w:val="001039BC"/>
    <w:rsid w:val="00123265"/>
    <w:rsid w:val="001279BE"/>
    <w:rsid w:val="0013251E"/>
    <w:rsid w:val="001445A9"/>
    <w:rsid w:val="00144973"/>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1901"/>
    <w:rsid w:val="001F533E"/>
    <w:rsid w:val="0021172E"/>
    <w:rsid w:val="00221DE2"/>
    <w:rsid w:val="00234298"/>
    <w:rsid w:val="002343BD"/>
    <w:rsid w:val="002471D4"/>
    <w:rsid w:val="00253326"/>
    <w:rsid w:val="00261CDE"/>
    <w:rsid w:val="0026276F"/>
    <w:rsid w:val="002635E5"/>
    <w:rsid w:val="00276CA4"/>
    <w:rsid w:val="002823E9"/>
    <w:rsid w:val="00282A7F"/>
    <w:rsid w:val="00284E14"/>
    <w:rsid w:val="00292827"/>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4B0"/>
    <w:rsid w:val="00382BCB"/>
    <w:rsid w:val="00391944"/>
    <w:rsid w:val="00393949"/>
    <w:rsid w:val="003948AF"/>
    <w:rsid w:val="00394BBC"/>
    <w:rsid w:val="003A4AC6"/>
    <w:rsid w:val="003A6F7F"/>
    <w:rsid w:val="003C2820"/>
    <w:rsid w:val="003C3CB5"/>
    <w:rsid w:val="003C5A1A"/>
    <w:rsid w:val="003D0424"/>
    <w:rsid w:val="003D32D7"/>
    <w:rsid w:val="003F4E13"/>
    <w:rsid w:val="003F6960"/>
    <w:rsid w:val="0040020D"/>
    <w:rsid w:val="00405ADB"/>
    <w:rsid w:val="00412C12"/>
    <w:rsid w:val="004254EE"/>
    <w:rsid w:val="00430D19"/>
    <w:rsid w:val="00433480"/>
    <w:rsid w:val="0043655D"/>
    <w:rsid w:val="00437D86"/>
    <w:rsid w:val="00441246"/>
    <w:rsid w:val="00441E0B"/>
    <w:rsid w:val="00444283"/>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14F"/>
    <w:rsid w:val="004A54A6"/>
    <w:rsid w:val="004B1105"/>
    <w:rsid w:val="004C3109"/>
    <w:rsid w:val="004C44C4"/>
    <w:rsid w:val="004C625A"/>
    <w:rsid w:val="004C6355"/>
    <w:rsid w:val="004E1D5E"/>
    <w:rsid w:val="004E38BB"/>
    <w:rsid w:val="004E630B"/>
    <w:rsid w:val="004F7313"/>
    <w:rsid w:val="0050728D"/>
    <w:rsid w:val="005158A6"/>
    <w:rsid w:val="0052094C"/>
    <w:rsid w:val="00534A41"/>
    <w:rsid w:val="0053650E"/>
    <w:rsid w:val="00542535"/>
    <w:rsid w:val="00544385"/>
    <w:rsid w:val="00544E6E"/>
    <w:rsid w:val="00547910"/>
    <w:rsid w:val="00551033"/>
    <w:rsid w:val="00560AC4"/>
    <w:rsid w:val="00563FE4"/>
    <w:rsid w:val="00567A02"/>
    <w:rsid w:val="005711D9"/>
    <w:rsid w:val="005751C6"/>
    <w:rsid w:val="00582D8F"/>
    <w:rsid w:val="005837B0"/>
    <w:rsid w:val="00594EF9"/>
    <w:rsid w:val="00596AC1"/>
    <w:rsid w:val="005A408B"/>
    <w:rsid w:val="005A46AE"/>
    <w:rsid w:val="005A77EA"/>
    <w:rsid w:val="005B19B1"/>
    <w:rsid w:val="005B5746"/>
    <w:rsid w:val="005C00AF"/>
    <w:rsid w:val="005C7C95"/>
    <w:rsid w:val="005D3C24"/>
    <w:rsid w:val="005D4528"/>
    <w:rsid w:val="005E088E"/>
    <w:rsid w:val="005E0F00"/>
    <w:rsid w:val="005F4D9C"/>
    <w:rsid w:val="005F761C"/>
    <w:rsid w:val="005F7E5C"/>
    <w:rsid w:val="00604996"/>
    <w:rsid w:val="00605B67"/>
    <w:rsid w:val="006163B1"/>
    <w:rsid w:val="00616874"/>
    <w:rsid w:val="0062589F"/>
    <w:rsid w:val="00626EA8"/>
    <w:rsid w:val="00641CEA"/>
    <w:rsid w:val="0065080E"/>
    <w:rsid w:val="00655229"/>
    <w:rsid w:val="00656B0C"/>
    <w:rsid w:val="0066309A"/>
    <w:rsid w:val="0066627D"/>
    <w:rsid w:val="00681348"/>
    <w:rsid w:val="006832A2"/>
    <w:rsid w:val="00684A20"/>
    <w:rsid w:val="00690EC4"/>
    <w:rsid w:val="006962CB"/>
    <w:rsid w:val="006A0BB0"/>
    <w:rsid w:val="006A7F42"/>
    <w:rsid w:val="006B4697"/>
    <w:rsid w:val="006C39F8"/>
    <w:rsid w:val="006D17EF"/>
    <w:rsid w:val="006E4941"/>
    <w:rsid w:val="006E55E9"/>
    <w:rsid w:val="006E5DE5"/>
    <w:rsid w:val="006E7335"/>
    <w:rsid w:val="006F1E9F"/>
    <w:rsid w:val="006F6724"/>
    <w:rsid w:val="0070004D"/>
    <w:rsid w:val="007006AE"/>
    <w:rsid w:val="00702423"/>
    <w:rsid w:val="00702449"/>
    <w:rsid w:val="00702F48"/>
    <w:rsid w:val="00705694"/>
    <w:rsid w:val="00711316"/>
    <w:rsid w:val="00714CEA"/>
    <w:rsid w:val="007159A1"/>
    <w:rsid w:val="0071642F"/>
    <w:rsid w:val="00722DD7"/>
    <w:rsid w:val="00725827"/>
    <w:rsid w:val="00725F68"/>
    <w:rsid w:val="0073075C"/>
    <w:rsid w:val="007315E0"/>
    <w:rsid w:val="0074144B"/>
    <w:rsid w:val="00741A3E"/>
    <w:rsid w:val="00743DAF"/>
    <w:rsid w:val="007443C2"/>
    <w:rsid w:val="00753BD4"/>
    <w:rsid w:val="00754498"/>
    <w:rsid w:val="00756CAD"/>
    <w:rsid w:val="00761EAB"/>
    <w:rsid w:val="007629BB"/>
    <w:rsid w:val="00762A82"/>
    <w:rsid w:val="007703B8"/>
    <w:rsid w:val="00771227"/>
    <w:rsid w:val="00772D42"/>
    <w:rsid w:val="00775751"/>
    <w:rsid w:val="00781015"/>
    <w:rsid w:val="007820CB"/>
    <w:rsid w:val="0078236A"/>
    <w:rsid w:val="00787132"/>
    <w:rsid w:val="007900FC"/>
    <w:rsid w:val="00794869"/>
    <w:rsid w:val="00797876"/>
    <w:rsid w:val="007A4FCD"/>
    <w:rsid w:val="007A5116"/>
    <w:rsid w:val="007A5263"/>
    <w:rsid w:val="007B33CC"/>
    <w:rsid w:val="007B3A14"/>
    <w:rsid w:val="007B4EC6"/>
    <w:rsid w:val="007B549A"/>
    <w:rsid w:val="007B5745"/>
    <w:rsid w:val="007B6893"/>
    <w:rsid w:val="007C3F2C"/>
    <w:rsid w:val="007C51E4"/>
    <w:rsid w:val="007D4066"/>
    <w:rsid w:val="007E3EED"/>
    <w:rsid w:val="007F136D"/>
    <w:rsid w:val="007F60CB"/>
    <w:rsid w:val="00801AAB"/>
    <w:rsid w:val="00804E1F"/>
    <w:rsid w:val="0080773A"/>
    <w:rsid w:val="0081788D"/>
    <w:rsid w:val="00825398"/>
    <w:rsid w:val="008263AE"/>
    <w:rsid w:val="008318C0"/>
    <w:rsid w:val="00831A29"/>
    <w:rsid w:val="00832B61"/>
    <w:rsid w:val="00835A88"/>
    <w:rsid w:val="00842DB1"/>
    <w:rsid w:val="00847A69"/>
    <w:rsid w:val="00856F08"/>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1ED9"/>
    <w:rsid w:val="008C5562"/>
    <w:rsid w:val="008D4634"/>
    <w:rsid w:val="008E4CD7"/>
    <w:rsid w:val="008E58F7"/>
    <w:rsid w:val="008E6EC1"/>
    <w:rsid w:val="00903815"/>
    <w:rsid w:val="00903C0A"/>
    <w:rsid w:val="009062C4"/>
    <w:rsid w:val="0090723B"/>
    <w:rsid w:val="00910193"/>
    <w:rsid w:val="0092312D"/>
    <w:rsid w:val="0092434F"/>
    <w:rsid w:val="00933628"/>
    <w:rsid w:val="00943379"/>
    <w:rsid w:val="009465EA"/>
    <w:rsid w:val="009506DC"/>
    <w:rsid w:val="009566C4"/>
    <w:rsid w:val="00956DD9"/>
    <w:rsid w:val="009628AE"/>
    <w:rsid w:val="00967A04"/>
    <w:rsid w:val="0097177B"/>
    <w:rsid w:val="00973509"/>
    <w:rsid w:val="00975F36"/>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56E"/>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00C5"/>
    <w:rsid w:val="00B725A0"/>
    <w:rsid w:val="00B7491E"/>
    <w:rsid w:val="00B763C4"/>
    <w:rsid w:val="00B91560"/>
    <w:rsid w:val="00B9364B"/>
    <w:rsid w:val="00B95F9A"/>
    <w:rsid w:val="00BA0E21"/>
    <w:rsid w:val="00BA1434"/>
    <w:rsid w:val="00BA3915"/>
    <w:rsid w:val="00BA3AE4"/>
    <w:rsid w:val="00BB3501"/>
    <w:rsid w:val="00BB3A06"/>
    <w:rsid w:val="00BB6A91"/>
    <w:rsid w:val="00BB7A7F"/>
    <w:rsid w:val="00BC3F72"/>
    <w:rsid w:val="00BC64B2"/>
    <w:rsid w:val="00BC662F"/>
    <w:rsid w:val="00BC6FFD"/>
    <w:rsid w:val="00BC778B"/>
    <w:rsid w:val="00BC7AFE"/>
    <w:rsid w:val="00BD1958"/>
    <w:rsid w:val="00BD3CFA"/>
    <w:rsid w:val="00BD73A3"/>
    <w:rsid w:val="00BD7C42"/>
    <w:rsid w:val="00BE2CDD"/>
    <w:rsid w:val="00BE6EA1"/>
    <w:rsid w:val="00BF22CF"/>
    <w:rsid w:val="00BF234E"/>
    <w:rsid w:val="00BF2747"/>
    <w:rsid w:val="00BF2F67"/>
    <w:rsid w:val="00BF5588"/>
    <w:rsid w:val="00BF5F4D"/>
    <w:rsid w:val="00C0244D"/>
    <w:rsid w:val="00C04FAE"/>
    <w:rsid w:val="00C057CB"/>
    <w:rsid w:val="00C12754"/>
    <w:rsid w:val="00C12A2F"/>
    <w:rsid w:val="00C1450B"/>
    <w:rsid w:val="00C22765"/>
    <w:rsid w:val="00C22816"/>
    <w:rsid w:val="00C232AD"/>
    <w:rsid w:val="00C234C6"/>
    <w:rsid w:val="00C2753D"/>
    <w:rsid w:val="00C27E4D"/>
    <w:rsid w:val="00C3318B"/>
    <w:rsid w:val="00C3553B"/>
    <w:rsid w:val="00C44634"/>
    <w:rsid w:val="00C45644"/>
    <w:rsid w:val="00C51B56"/>
    <w:rsid w:val="00C5361C"/>
    <w:rsid w:val="00C53B3E"/>
    <w:rsid w:val="00C61988"/>
    <w:rsid w:val="00C64316"/>
    <w:rsid w:val="00C67F89"/>
    <w:rsid w:val="00C71F74"/>
    <w:rsid w:val="00C72EFF"/>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0921"/>
    <w:rsid w:val="00CD42C4"/>
    <w:rsid w:val="00CE1D19"/>
    <w:rsid w:val="00CE43F8"/>
    <w:rsid w:val="00CE7C8B"/>
    <w:rsid w:val="00CF01CC"/>
    <w:rsid w:val="00CF6D5C"/>
    <w:rsid w:val="00D10B1F"/>
    <w:rsid w:val="00D10F13"/>
    <w:rsid w:val="00D11E1F"/>
    <w:rsid w:val="00D20C81"/>
    <w:rsid w:val="00D3262F"/>
    <w:rsid w:val="00D361FE"/>
    <w:rsid w:val="00D36E74"/>
    <w:rsid w:val="00D41E64"/>
    <w:rsid w:val="00D42F13"/>
    <w:rsid w:val="00D43B3D"/>
    <w:rsid w:val="00D46A3D"/>
    <w:rsid w:val="00D5035D"/>
    <w:rsid w:val="00D5213E"/>
    <w:rsid w:val="00D52A3F"/>
    <w:rsid w:val="00D535B2"/>
    <w:rsid w:val="00D56E0D"/>
    <w:rsid w:val="00D62A71"/>
    <w:rsid w:val="00D70A3B"/>
    <w:rsid w:val="00D72110"/>
    <w:rsid w:val="00D83B7A"/>
    <w:rsid w:val="00D919AF"/>
    <w:rsid w:val="00D937BD"/>
    <w:rsid w:val="00D96B62"/>
    <w:rsid w:val="00D97661"/>
    <w:rsid w:val="00DA2D7C"/>
    <w:rsid w:val="00DA4768"/>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2B23"/>
    <w:rsid w:val="00E7407A"/>
    <w:rsid w:val="00E81A0A"/>
    <w:rsid w:val="00E964F7"/>
    <w:rsid w:val="00EA4B70"/>
    <w:rsid w:val="00EA6F84"/>
    <w:rsid w:val="00EB1F29"/>
    <w:rsid w:val="00EB6EDC"/>
    <w:rsid w:val="00EB7931"/>
    <w:rsid w:val="00EC1752"/>
    <w:rsid w:val="00ED548C"/>
    <w:rsid w:val="00ED7F3F"/>
    <w:rsid w:val="00EF043C"/>
    <w:rsid w:val="00EF49B3"/>
    <w:rsid w:val="00EF56E1"/>
    <w:rsid w:val="00EF73FD"/>
    <w:rsid w:val="00F00561"/>
    <w:rsid w:val="00F01150"/>
    <w:rsid w:val="00F01E3D"/>
    <w:rsid w:val="00F04DC2"/>
    <w:rsid w:val="00F055E6"/>
    <w:rsid w:val="00F066D9"/>
    <w:rsid w:val="00F12768"/>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4109"/>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26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95881">
      <w:bodyDiv w:val="1"/>
      <w:marLeft w:val="0"/>
      <w:marRight w:val="0"/>
      <w:marTop w:val="0"/>
      <w:marBottom w:val="0"/>
      <w:divBdr>
        <w:top w:val="none" w:sz="0" w:space="0" w:color="auto"/>
        <w:left w:val="none" w:sz="0" w:space="0" w:color="auto"/>
        <w:bottom w:val="none" w:sz="0" w:space="0" w:color="auto"/>
        <w:right w:val="none" w:sz="0" w:space="0" w:color="auto"/>
      </w:divBdr>
    </w:div>
    <w:div w:id="383800351">
      <w:bodyDiv w:val="1"/>
      <w:marLeft w:val="0"/>
      <w:marRight w:val="0"/>
      <w:marTop w:val="0"/>
      <w:marBottom w:val="0"/>
      <w:divBdr>
        <w:top w:val="none" w:sz="0" w:space="0" w:color="auto"/>
        <w:left w:val="none" w:sz="0" w:space="0" w:color="auto"/>
        <w:bottom w:val="none" w:sz="0" w:space="0" w:color="auto"/>
        <w:right w:val="none" w:sz="0" w:space="0" w:color="auto"/>
      </w:divBdr>
    </w:div>
    <w:div w:id="518272546">
      <w:bodyDiv w:val="1"/>
      <w:marLeft w:val="0"/>
      <w:marRight w:val="0"/>
      <w:marTop w:val="0"/>
      <w:marBottom w:val="0"/>
      <w:divBdr>
        <w:top w:val="none" w:sz="0" w:space="0" w:color="auto"/>
        <w:left w:val="none" w:sz="0" w:space="0" w:color="auto"/>
        <w:bottom w:val="none" w:sz="0" w:space="0" w:color="auto"/>
        <w:right w:val="none" w:sz="0" w:space="0" w:color="auto"/>
      </w:divBdr>
    </w:div>
    <w:div w:id="586619302">
      <w:bodyDiv w:val="1"/>
      <w:marLeft w:val="0"/>
      <w:marRight w:val="0"/>
      <w:marTop w:val="0"/>
      <w:marBottom w:val="0"/>
      <w:divBdr>
        <w:top w:val="none" w:sz="0" w:space="0" w:color="auto"/>
        <w:left w:val="none" w:sz="0" w:space="0" w:color="auto"/>
        <w:bottom w:val="none" w:sz="0" w:space="0" w:color="auto"/>
        <w:right w:val="none" w:sz="0" w:space="0" w:color="auto"/>
      </w:divBdr>
    </w:div>
    <w:div w:id="923490900">
      <w:bodyDiv w:val="1"/>
      <w:marLeft w:val="0"/>
      <w:marRight w:val="0"/>
      <w:marTop w:val="0"/>
      <w:marBottom w:val="0"/>
      <w:divBdr>
        <w:top w:val="none" w:sz="0" w:space="0" w:color="auto"/>
        <w:left w:val="none" w:sz="0" w:space="0" w:color="auto"/>
        <w:bottom w:val="none" w:sz="0" w:space="0" w:color="auto"/>
        <w:right w:val="none" w:sz="0" w:space="0" w:color="auto"/>
      </w:divBdr>
    </w:div>
    <w:div w:id="925308169">
      <w:bodyDiv w:val="1"/>
      <w:marLeft w:val="0"/>
      <w:marRight w:val="0"/>
      <w:marTop w:val="0"/>
      <w:marBottom w:val="0"/>
      <w:divBdr>
        <w:top w:val="none" w:sz="0" w:space="0" w:color="auto"/>
        <w:left w:val="none" w:sz="0" w:space="0" w:color="auto"/>
        <w:bottom w:val="none" w:sz="0" w:space="0" w:color="auto"/>
        <w:right w:val="none" w:sz="0" w:space="0" w:color="auto"/>
      </w:divBdr>
    </w:div>
    <w:div w:id="1017853487">
      <w:bodyDiv w:val="1"/>
      <w:marLeft w:val="0"/>
      <w:marRight w:val="0"/>
      <w:marTop w:val="0"/>
      <w:marBottom w:val="0"/>
      <w:divBdr>
        <w:top w:val="none" w:sz="0" w:space="0" w:color="auto"/>
        <w:left w:val="none" w:sz="0" w:space="0" w:color="auto"/>
        <w:bottom w:val="none" w:sz="0" w:space="0" w:color="auto"/>
        <w:right w:val="none" w:sz="0" w:space="0" w:color="auto"/>
      </w:divBdr>
    </w:div>
    <w:div w:id="1045064931">
      <w:bodyDiv w:val="1"/>
      <w:marLeft w:val="0"/>
      <w:marRight w:val="0"/>
      <w:marTop w:val="0"/>
      <w:marBottom w:val="0"/>
      <w:divBdr>
        <w:top w:val="none" w:sz="0" w:space="0" w:color="auto"/>
        <w:left w:val="none" w:sz="0" w:space="0" w:color="auto"/>
        <w:bottom w:val="none" w:sz="0" w:space="0" w:color="auto"/>
        <w:right w:val="none" w:sz="0" w:space="0" w:color="auto"/>
      </w:divBdr>
    </w:div>
    <w:div w:id="1225600477">
      <w:bodyDiv w:val="1"/>
      <w:marLeft w:val="0"/>
      <w:marRight w:val="0"/>
      <w:marTop w:val="0"/>
      <w:marBottom w:val="0"/>
      <w:divBdr>
        <w:top w:val="none" w:sz="0" w:space="0" w:color="auto"/>
        <w:left w:val="none" w:sz="0" w:space="0" w:color="auto"/>
        <w:bottom w:val="none" w:sz="0" w:space="0" w:color="auto"/>
        <w:right w:val="none" w:sz="0" w:space="0" w:color="auto"/>
      </w:divBdr>
    </w:div>
    <w:div w:id="1273828061">
      <w:bodyDiv w:val="1"/>
      <w:marLeft w:val="0"/>
      <w:marRight w:val="0"/>
      <w:marTop w:val="0"/>
      <w:marBottom w:val="0"/>
      <w:divBdr>
        <w:top w:val="none" w:sz="0" w:space="0" w:color="auto"/>
        <w:left w:val="none" w:sz="0" w:space="0" w:color="auto"/>
        <w:bottom w:val="none" w:sz="0" w:space="0" w:color="auto"/>
        <w:right w:val="none" w:sz="0" w:space="0" w:color="auto"/>
      </w:divBdr>
    </w:div>
    <w:div w:id="1316372934">
      <w:bodyDiv w:val="1"/>
      <w:marLeft w:val="0"/>
      <w:marRight w:val="0"/>
      <w:marTop w:val="0"/>
      <w:marBottom w:val="0"/>
      <w:divBdr>
        <w:top w:val="none" w:sz="0" w:space="0" w:color="auto"/>
        <w:left w:val="none" w:sz="0" w:space="0" w:color="auto"/>
        <w:bottom w:val="none" w:sz="0" w:space="0" w:color="auto"/>
        <w:right w:val="none" w:sz="0" w:space="0" w:color="auto"/>
      </w:divBdr>
    </w:div>
    <w:div w:id="1377046071">
      <w:bodyDiv w:val="1"/>
      <w:marLeft w:val="0"/>
      <w:marRight w:val="0"/>
      <w:marTop w:val="0"/>
      <w:marBottom w:val="0"/>
      <w:divBdr>
        <w:top w:val="none" w:sz="0" w:space="0" w:color="auto"/>
        <w:left w:val="none" w:sz="0" w:space="0" w:color="auto"/>
        <w:bottom w:val="none" w:sz="0" w:space="0" w:color="auto"/>
        <w:right w:val="none" w:sz="0" w:space="0" w:color="auto"/>
      </w:divBdr>
    </w:div>
    <w:div w:id="1411778825">
      <w:bodyDiv w:val="1"/>
      <w:marLeft w:val="0"/>
      <w:marRight w:val="0"/>
      <w:marTop w:val="0"/>
      <w:marBottom w:val="0"/>
      <w:divBdr>
        <w:top w:val="none" w:sz="0" w:space="0" w:color="auto"/>
        <w:left w:val="none" w:sz="0" w:space="0" w:color="auto"/>
        <w:bottom w:val="none" w:sz="0" w:space="0" w:color="auto"/>
        <w:right w:val="none" w:sz="0" w:space="0" w:color="auto"/>
      </w:divBdr>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 w:id="1886601211">
      <w:bodyDiv w:val="1"/>
      <w:marLeft w:val="0"/>
      <w:marRight w:val="0"/>
      <w:marTop w:val="0"/>
      <w:marBottom w:val="0"/>
      <w:divBdr>
        <w:top w:val="none" w:sz="0" w:space="0" w:color="auto"/>
        <w:left w:val="none" w:sz="0" w:space="0" w:color="auto"/>
        <w:bottom w:val="none" w:sz="0" w:space="0" w:color="auto"/>
        <w:right w:val="none" w:sz="0" w:space="0" w:color="auto"/>
      </w:divBdr>
    </w:div>
    <w:div w:id="21064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9BA9-29A5-4C90-A5A5-0EBAD03B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1891</Characters>
  <Application>Microsoft Office Word</Application>
  <DocSecurity>4</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2021-10-26T16:04:00Z</dcterms:created>
  <dcterms:modified xsi:type="dcterms:W3CDTF">2021-10-26T16:04:00Z</dcterms:modified>
</cp:coreProperties>
</file>