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229" w:rsidRPr="008D7229" w:rsidRDefault="008D7229" w:rsidP="007A659E">
      <w:pPr>
        <w:spacing w:line="540" w:lineRule="exact"/>
        <w:ind w:firstLineChars="50" w:firstLine="160"/>
        <w:jc w:val="center"/>
        <w:rPr>
          <w:rFonts w:ascii="仿宋" w:eastAsia="仿宋" w:hAnsi="仿宋" w:cs="Times New Roman"/>
          <w:b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b/>
          <w:color w:val="000000"/>
          <w:sz w:val="32"/>
          <w:szCs w:val="32"/>
        </w:rPr>
        <w:t>泰达宏利基金管理</w:t>
      </w:r>
      <w:r w:rsidRPr="008D7229">
        <w:rPr>
          <w:rFonts w:ascii="仿宋" w:eastAsia="仿宋" w:hAnsi="仿宋" w:cs="Times New Roman"/>
          <w:b/>
          <w:color w:val="000000"/>
          <w:sz w:val="32"/>
          <w:szCs w:val="32"/>
        </w:rPr>
        <w:t>有限</w:t>
      </w:r>
      <w:r w:rsidRPr="008D7229">
        <w:rPr>
          <w:rFonts w:ascii="仿宋" w:eastAsia="仿宋" w:hAnsi="仿宋" w:cs="Times New Roman" w:hint="eastAsia"/>
          <w:b/>
          <w:color w:val="000000"/>
          <w:sz w:val="32"/>
          <w:szCs w:val="32"/>
        </w:rPr>
        <w:t>公司旗下基金</w:t>
      </w:r>
    </w:p>
    <w:p w:rsidR="008D7229" w:rsidRPr="008D7229" w:rsidRDefault="00F40E3A" w:rsidP="007A659E">
      <w:pPr>
        <w:spacing w:line="540" w:lineRule="exact"/>
        <w:ind w:firstLineChars="50" w:firstLine="160"/>
        <w:jc w:val="center"/>
        <w:rPr>
          <w:rFonts w:ascii="仿宋" w:eastAsia="仿宋" w:hAnsi="仿宋" w:cs="Times New Roman"/>
          <w:b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202</w:t>
      </w:r>
      <w:r w:rsidR="00001619">
        <w:rPr>
          <w:rFonts w:ascii="仿宋" w:eastAsia="仿宋" w:hAnsi="仿宋" w:cs="Times New Roman" w:hint="eastAsia"/>
          <w:b/>
          <w:color w:val="000000"/>
          <w:sz w:val="32"/>
          <w:szCs w:val="32"/>
        </w:rPr>
        <w:t>1</w:t>
      </w:r>
      <w:r w:rsidR="008D7229" w:rsidRPr="008D7229">
        <w:rPr>
          <w:rFonts w:ascii="仿宋" w:eastAsia="仿宋" w:hAnsi="仿宋" w:cs="Times New Roman" w:hint="eastAsia"/>
          <w:b/>
          <w:color w:val="000000"/>
          <w:sz w:val="32"/>
          <w:szCs w:val="32"/>
        </w:rPr>
        <w:t>年</w:t>
      </w:r>
      <w:r w:rsidR="008D7229" w:rsidRPr="008D7229">
        <w:rPr>
          <w:rFonts w:ascii="仿宋" w:eastAsia="仿宋" w:hAnsi="仿宋" w:cs="Times New Roman"/>
          <w:b/>
          <w:color w:val="000000"/>
          <w:sz w:val="32"/>
          <w:szCs w:val="32"/>
        </w:rPr>
        <w:t>第</w:t>
      </w:r>
      <w:r w:rsidR="00C238EA">
        <w:rPr>
          <w:rFonts w:ascii="仿宋" w:eastAsia="仿宋" w:hAnsi="仿宋" w:cs="Times New Roman" w:hint="eastAsia"/>
          <w:b/>
          <w:color w:val="000000"/>
          <w:sz w:val="32"/>
          <w:szCs w:val="32"/>
        </w:rPr>
        <w:t>3</w:t>
      </w:r>
      <w:r w:rsidR="008D7229" w:rsidRPr="008D7229">
        <w:rPr>
          <w:rFonts w:ascii="仿宋" w:eastAsia="仿宋" w:hAnsi="仿宋" w:cs="Times New Roman" w:hint="eastAsia"/>
          <w:b/>
          <w:color w:val="000000"/>
          <w:sz w:val="32"/>
          <w:szCs w:val="32"/>
        </w:rPr>
        <w:t>季度报告提示性公告</w:t>
      </w:r>
    </w:p>
    <w:p w:rsidR="008D7229" w:rsidRPr="008D7229" w:rsidRDefault="008D7229" w:rsidP="007A659E">
      <w:pPr>
        <w:spacing w:line="540" w:lineRule="exact"/>
        <w:ind w:firstLineChars="50" w:firstLine="160"/>
        <w:jc w:val="center"/>
        <w:rPr>
          <w:rFonts w:ascii="仿宋" w:eastAsia="仿宋" w:hAnsi="仿宋" w:cs="Times New Roman"/>
          <w:b/>
          <w:color w:val="000000"/>
          <w:sz w:val="32"/>
          <w:szCs w:val="32"/>
        </w:rPr>
      </w:pPr>
    </w:p>
    <w:p w:rsidR="008D7229" w:rsidRPr="008D7229" w:rsidRDefault="008D7229" w:rsidP="008D7229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泰达宏利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基金管理有限公司（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以下简称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“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本公司”）董事会及董事保证旗下基金</w:t>
      </w:r>
      <w:r w:rsidR="00F40E3A">
        <w:rPr>
          <w:rFonts w:ascii="仿宋" w:eastAsia="仿宋" w:hAnsi="仿宋" w:cs="Times New Roman" w:hint="eastAsia"/>
          <w:color w:val="000000"/>
          <w:sz w:val="32"/>
          <w:szCs w:val="32"/>
        </w:rPr>
        <w:t>202</w:t>
      </w:r>
      <w:r w:rsidR="00001619">
        <w:rPr>
          <w:rFonts w:ascii="仿宋" w:eastAsia="仿宋" w:hAnsi="仿宋" w:cs="Times New Roman" w:hint="eastAsia"/>
          <w:color w:val="000000"/>
          <w:sz w:val="32"/>
          <w:szCs w:val="32"/>
        </w:rPr>
        <w:t>1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年第</w:t>
      </w:r>
      <w:r w:rsidR="00C238EA">
        <w:rPr>
          <w:rFonts w:ascii="仿宋" w:eastAsia="仿宋" w:hAnsi="仿宋" w:cs="Times New Roman" w:hint="eastAsia"/>
          <w:color w:val="000000"/>
          <w:sz w:val="32"/>
          <w:szCs w:val="32"/>
        </w:rPr>
        <w:t>3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季度报告所载资料不存在虚假记载、误导性陈述或重大遗漏，并对其内容的真实性、准确性和完整性承担个别及连带责任。</w:t>
      </w:r>
    </w:p>
    <w:p w:rsidR="008D7229" w:rsidRPr="008D7229" w:rsidRDefault="008D7229" w:rsidP="008D7229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本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公司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旗下泰达宏利价值优化型成长类行业混合型证券投资基金、泰达宏利价值优化型周期类行业混合型证券投资基金、泰达宏利价值优化型稳定类行业混合型证券投资基金、泰达宏利行业精选混合型证券投资基金、泰达宏利风险预算混合型证券投资基金、泰达宏利货币市场基金、泰达宏利效率优选混合型证券投资基金（LOF）、泰达宏利首选企业股票型证券投资基金、泰达宏利市值优选混合型证券投资基金、泰达宏利集利债券型证券投资基金、泰达宏利品质生活灵活配置混合型证券投资基金、泰达宏利红利先锋混合型证券投资基金、泰达宏利沪深300指数增强型证券投资基金、泰达宏利领先中小盘混合型证券投资基金、泰达宏利聚利债券型证券投资基金（LOF）、</w:t>
      </w:r>
      <w:r w:rsidR="001C0CD9" w:rsidRPr="001C0CD9">
        <w:rPr>
          <w:rFonts w:ascii="仿宋" w:eastAsia="仿宋" w:hAnsi="仿宋" w:cs="Times New Roman" w:hint="eastAsia"/>
          <w:color w:val="000000"/>
          <w:sz w:val="32"/>
          <w:szCs w:val="32"/>
        </w:rPr>
        <w:t>泰达宏利中证</w:t>
      </w:r>
      <w:r w:rsidR="001C0CD9" w:rsidRPr="001C0CD9">
        <w:rPr>
          <w:rFonts w:ascii="仿宋" w:eastAsia="仿宋" w:hAnsi="仿宋" w:cs="Times New Roman"/>
          <w:color w:val="000000"/>
          <w:sz w:val="32"/>
          <w:szCs w:val="32"/>
        </w:rPr>
        <w:t>500指数增强型证券投资基金（LOF)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、泰达宏利逆向策略混合型证券投资基金、泰达宏利宏达混合型证券投资基金、泰达宏利淘利债券型证券投资基金、泰达宏利转型机遇股票型证券投资基金、泰达宏利改革动力量化策略灵活配置混合型证券投资基金、泰达宏利创盈灵活配置混合型证券投资基金、泰达宏利复兴伟业灵活配置混合型证券投资基金、泰达宏利新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lastRenderedPageBreak/>
        <w:t>起点灵活配置混合型证券投资基金、泰达宏利蓝筹价值混合型证券投资基金、泰达宏利新思路灵活配置混合型证券投资基金、泰达宏利创益灵活配置混合型证券投资基金、泰达宏利活期友货币市场基金、</w:t>
      </w:r>
      <w:bookmarkStart w:id="0" w:name="_GoBack"/>
      <w:bookmarkEnd w:id="0"/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泰达宏利汇利债券型证券投资基金、泰达宏利量化增强股票型证券投资基金、泰达宏利睿智稳健灵活配置混合型证券投资基金、泰达宏利京元宝货币市场基金、泰达宏利纯利债券型证券投资基金、泰达宏利溢利债券型证券投资基金、泰达宏利恒利债券型证券投资基金、泰达宏利启富灵活配置混合型证券投资基金、泰达宏利业绩驱动量化股票型证券投资基金、泰达宏利全能优选混合型基金中基金（FOF）、泰达宏利交利3个月定期开放债券型发起式证券投资基金、泰达宏利金利3个月定期开放债券型发起式证券投资基金、泰达宏利绩优增长灵活配置混合型证券投资基金、泰达宏利泽利3个月定期开放债券型发起式证券投资基金、泰达宏利泰和平衡养老目标三年持有期混合型基金中基金（FOF）、泰达宏利印度机会股票型证券投资基金（QDII）、</w:t>
      </w:r>
      <w:r w:rsidR="001C0CD9" w:rsidRPr="001C0CD9">
        <w:rPr>
          <w:rFonts w:ascii="仿宋" w:eastAsia="仿宋" w:hAnsi="仿宋" w:cs="Times New Roman" w:hint="eastAsia"/>
          <w:color w:val="000000"/>
          <w:sz w:val="32"/>
          <w:szCs w:val="32"/>
        </w:rPr>
        <w:t>泰达宏利鑫利半年定期开放债券型证券投资基金、泰达宏利永利债券型证券投资基金、泰达宏利品牌升级混合型证券投资基金</w:t>
      </w:r>
      <w:r w:rsidR="00F40E3A"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="00F40E3A" w:rsidRPr="00F40E3A">
        <w:rPr>
          <w:rFonts w:ascii="仿宋" w:eastAsia="仿宋" w:hAnsi="仿宋" w:cs="Times New Roman" w:hint="eastAsia"/>
          <w:color w:val="000000"/>
          <w:sz w:val="32"/>
          <w:szCs w:val="32"/>
        </w:rPr>
        <w:t>泰达宏利消费行业量化精选混合型证券投资基金</w:t>
      </w:r>
      <w:r w:rsidR="00D65570"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="00D65570" w:rsidRPr="00D65570">
        <w:rPr>
          <w:rFonts w:ascii="仿宋" w:eastAsia="仿宋" w:hAnsi="仿宋" w:cs="Times New Roman" w:hint="eastAsia"/>
          <w:color w:val="000000"/>
          <w:sz w:val="32"/>
          <w:szCs w:val="32"/>
        </w:rPr>
        <w:t>泰达宏利养老目标日期</w:t>
      </w:r>
      <w:r w:rsidR="00D65570" w:rsidRPr="00D65570">
        <w:rPr>
          <w:rFonts w:ascii="仿宋" w:eastAsia="仿宋" w:hAnsi="仿宋" w:cs="Times New Roman"/>
          <w:color w:val="000000"/>
          <w:sz w:val="32"/>
          <w:szCs w:val="32"/>
        </w:rPr>
        <w:t>2040三年持有期混合型发起式基金中基金(FOF)</w:t>
      </w:r>
      <w:r w:rsidR="00D65570"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="00D65570" w:rsidRPr="00D65570">
        <w:rPr>
          <w:rFonts w:ascii="仿宋" w:eastAsia="仿宋" w:hAnsi="仿宋" w:cs="Times New Roman" w:hint="eastAsia"/>
          <w:color w:val="000000"/>
          <w:sz w:val="32"/>
          <w:szCs w:val="32"/>
        </w:rPr>
        <w:t>泰达宏利中证主要消费红利指数型证券投资基金</w:t>
      </w:r>
      <w:r w:rsidR="002978FC"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="002978FC" w:rsidRPr="002978FC">
        <w:rPr>
          <w:rFonts w:ascii="仿宋" w:eastAsia="仿宋" w:hAnsi="仿宋" w:cs="Times New Roman" w:hint="eastAsia"/>
          <w:color w:val="000000"/>
          <w:sz w:val="32"/>
          <w:szCs w:val="32"/>
        </w:rPr>
        <w:t>泰达宏利泰和稳健养老目标一年持有期混合型基金中基金</w:t>
      </w:r>
      <w:r w:rsidR="002978FC" w:rsidRPr="002978FC">
        <w:rPr>
          <w:rFonts w:ascii="仿宋" w:eastAsia="仿宋" w:hAnsi="仿宋" w:cs="Times New Roman"/>
          <w:color w:val="000000"/>
          <w:sz w:val="32"/>
          <w:szCs w:val="32"/>
        </w:rPr>
        <w:t>(FOF)</w:t>
      </w:r>
      <w:r w:rsidR="002978FC"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="002978FC" w:rsidRPr="002978FC">
        <w:rPr>
          <w:rFonts w:ascii="仿宋" w:eastAsia="仿宋" w:hAnsi="仿宋" w:cs="Times New Roman" w:hint="eastAsia"/>
          <w:color w:val="000000"/>
          <w:sz w:val="32"/>
          <w:szCs w:val="32"/>
        </w:rPr>
        <w:t>泰达宏利价值长青混合型证券投资基金</w:t>
      </w:r>
      <w:r w:rsidR="002978FC"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="002978FC" w:rsidRPr="002978FC">
        <w:rPr>
          <w:rFonts w:ascii="仿宋" w:eastAsia="仿宋" w:hAnsi="仿宋" w:cs="Times New Roman" w:hint="eastAsia"/>
          <w:color w:val="000000"/>
          <w:sz w:val="32"/>
          <w:szCs w:val="32"/>
        </w:rPr>
        <w:t>泰达宏利中证申万绩优策略指数增强型证券投资基金</w:t>
      </w:r>
      <w:r w:rsidR="002978FC"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="002978FC" w:rsidRPr="002978FC">
        <w:rPr>
          <w:rFonts w:ascii="仿宋" w:eastAsia="仿宋" w:hAnsi="仿宋" w:cs="Times New Roman" w:hint="eastAsia"/>
          <w:color w:val="000000"/>
          <w:sz w:val="32"/>
          <w:szCs w:val="32"/>
        </w:rPr>
        <w:t>泰达宏利乐盈</w:t>
      </w:r>
      <w:r w:rsidR="002978FC" w:rsidRPr="002978FC">
        <w:rPr>
          <w:rFonts w:ascii="仿宋" w:eastAsia="仿宋" w:hAnsi="仿宋" w:cs="Times New Roman"/>
          <w:color w:val="000000"/>
          <w:sz w:val="32"/>
          <w:szCs w:val="32"/>
        </w:rPr>
        <w:t>66个月定期开放债券型证券投资基金</w:t>
      </w:r>
      <w:r w:rsidR="00BC6085">
        <w:rPr>
          <w:rFonts w:ascii="仿宋" w:eastAsia="仿宋" w:hAnsi="仿宋" w:cs="Times New Roman" w:hint="eastAsia"/>
          <w:color w:val="000000"/>
          <w:sz w:val="32"/>
          <w:szCs w:val="32"/>
        </w:rPr>
        <w:t>、泰达宏利高研发创新6</w:t>
      </w:r>
      <w:r w:rsidR="00BC6085">
        <w:rPr>
          <w:rFonts w:ascii="仿宋" w:eastAsia="仿宋" w:hAnsi="仿宋" w:cs="Times New Roman" w:hint="eastAsia"/>
          <w:color w:val="000000"/>
          <w:sz w:val="32"/>
          <w:szCs w:val="32"/>
        </w:rPr>
        <w:lastRenderedPageBreak/>
        <w:t>个月持有期混合型证券投资基金</w:t>
      </w:r>
      <w:r w:rsidR="00001619">
        <w:rPr>
          <w:rFonts w:ascii="仿宋" w:eastAsia="仿宋" w:hAnsi="仿宋" w:cs="Times New Roman" w:hint="eastAsia"/>
          <w:color w:val="000000"/>
          <w:sz w:val="32"/>
          <w:szCs w:val="32"/>
        </w:rPr>
        <w:t>、泰达宏利波控回报12个月持有期混合型证券投资基金</w:t>
      </w:r>
      <w:r w:rsidR="004F06FA">
        <w:rPr>
          <w:rFonts w:ascii="仿宋" w:eastAsia="仿宋" w:hAnsi="仿宋" w:cs="Times New Roman" w:hint="eastAsia"/>
          <w:color w:val="000000"/>
          <w:sz w:val="32"/>
          <w:szCs w:val="32"/>
        </w:rPr>
        <w:t>、泰达宏利消费服务混合型证券投资基金</w:t>
      </w:r>
      <w:r w:rsidR="00C238EA">
        <w:rPr>
          <w:rFonts w:ascii="仿宋" w:eastAsia="仿宋" w:hAnsi="仿宋" w:cs="Times New Roman" w:hint="eastAsia"/>
          <w:color w:val="000000"/>
          <w:sz w:val="32"/>
          <w:szCs w:val="32"/>
        </w:rPr>
        <w:t>、泰达宏利新能源股票型证券投资基金、泰达宏利中债1</w:t>
      </w:r>
      <w:r w:rsidR="00C238EA">
        <w:rPr>
          <w:rFonts w:ascii="仿宋" w:eastAsia="仿宋" w:hAnsi="仿宋" w:cs="Times New Roman"/>
          <w:color w:val="000000"/>
          <w:sz w:val="32"/>
          <w:szCs w:val="32"/>
        </w:rPr>
        <w:t>-5</w:t>
      </w:r>
      <w:r w:rsidR="00C238EA">
        <w:rPr>
          <w:rFonts w:ascii="仿宋" w:eastAsia="仿宋" w:hAnsi="仿宋" w:cs="Times New Roman" w:hint="eastAsia"/>
          <w:color w:val="000000"/>
          <w:sz w:val="32"/>
          <w:szCs w:val="32"/>
        </w:rPr>
        <w:t>年国开行债券指数证券投资基金</w:t>
      </w:r>
      <w:r w:rsidR="0021715F" w:rsidRPr="008D7229">
        <w:rPr>
          <w:rFonts w:ascii="仿宋" w:eastAsia="仿宋" w:hAnsi="仿宋" w:cs="Times New Roman"/>
          <w:color w:val="000000"/>
          <w:sz w:val="32"/>
          <w:szCs w:val="32"/>
        </w:rPr>
        <w:t>的</w:t>
      </w:r>
      <w:r w:rsidR="0021715F"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20</w:t>
      </w:r>
      <w:r w:rsidR="0021715F">
        <w:rPr>
          <w:rFonts w:ascii="仿宋" w:eastAsia="仿宋" w:hAnsi="仿宋" w:cs="Times New Roman" w:hint="eastAsia"/>
          <w:color w:val="000000"/>
          <w:sz w:val="32"/>
          <w:szCs w:val="32"/>
        </w:rPr>
        <w:t>2</w:t>
      </w:r>
      <w:r w:rsidR="00001619">
        <w:rPr>
          <w:rFonts w:ascii="仿宋" w:eastAsia="仿宋" w:hAnsi="仿宋" w:cs="Times New Roman" w:hint="eastAsia"/>
          <w:color w:val="000000"/>
          <w:sz w:val="32"/>
          <w:szCs w:val="32"/>
        </w:rPr>
        <w:t>1</w:t>
      </w:r>
      <w:r w:rsidR="0021715F"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年</w:t>
      </w:r>
      <w:r w:rsidR="0021715F" w:rsidRPr="008D7229">
        <w:rPr>
          <w:rFonts w:ascii="仿宋" w:eastAsia="仿宋" w:hAnsi="仿宋" w:cs="Times New Roman"/>
          <w:color w:val="000000"/>
          <w:sz w:val="32"/>
          <w:szCs w:val="32"/>
        </w:rPr>
        <w:t>第</w:t>
      </w:r>
      <w:r w:rsidR="00C238EA">
        <w:rPr>
          <w:rFonts w:ascii="仿宋" w:eastAsia="仿宋" w:hAnsi="仿宋" w:cs="Times New Roman"/>
          <w:color w:val="000000"/>
          <w:sz w:val="32"/>
          <w:szCs w:val="32"/>
        </w:rPr>
        <w:t>3</w:t>
      </w:r>
      <w:r w:rsidR="0021715F"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季度</w:t>
      </w:r>
      <w:r w:rsidR="0021715F" w:rsidRPr="008D7229">
        <w:rPr>
          <w:rFonts w:ascii="仿宋" w:eastAsia="仿宋" w:hAnsi="仿宋" w:cs="Times New Roman"/>
          <w:color w:val="000000"/>
          <w:sz w:val="32"/>
          <w:szCs w:val="32"/>
        </w:rPr>
        <w:t>报告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全文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于20</w:t>
      </w:r>
      <w:r w:rsidR="001C0CD9">
        <w:rPr>
          <w:rFonts w:ascii="仿宋" w:eastAsia="仿宋" w:hAnsi="仿宋" w:cs="Times New Roman" w:hint="eastAsia"/>
          <w:color w:val="000000"/>
          <w:sz w:val="32"/>
          <w:szCs w:val="32"/>
        </w:rPr>
        <w:t>2</w:t>
      </w:r>
      <w:r w:rsidR="00BC6085">
        <w:rPr>
          <w:rFonts w:ascii="仿宋" w:eastAsia="仿宋" w:hAnsi="仿宋" w:cs="Times New Roman" w:hint="eastAsia"/>
          <w:color w:val="000000"/>
          <w:sz w:val="32"/>
          <w:szCs w:val="32"/>
        </w:rPr>
        <w:t>1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年</w:t>
      </w:r>
      <w:r w:rsidR="00C238EA">
        <w:rPr>
          <w:rFonts w:ascii="仿宋" w:eastAsia="仿宋" w:hAnsi="仿宋" w:cs="Times New Roman" w:hint="eastAsia"/>
          <w:color w:val="000000"/>
          <w:sz w:val="32"/>
          <w:szCs w:val="32"/>
        </w:rPr>
        <w:t>10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月</w:t>
      </w:r>
      <w:r w:rsidR="00BC6085">
        <w:rPr>
          <w:rFonts w:ascii="仿宋" w:eastAsia="仿宋" w:hAnsi="仿宋" w:cs="Times New Roman" w:hint="eastAsia"/>
          <w:color w:val="000000"/>
          <w:sz w:val="32"/>
          <w:szCs w:val="32"/>
        </w:rPr>
        <w:t>2</w:t>
      </w:r>
      <w:r w:rsidR="00C238EA">
        <w:rPr>
          <w:rFonts w:ascii="仿宋" w:eastAsia="仿宋" w:hAnsi="仿宋" w:cs="Times New Roman" w:hint="eastAsia"/>
          <w:color w:val="000000"/>
          <w:sz w:val="32"/>
          <w:szCs w:val="32"/>
        </w:rPr>
        <w:t>7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日在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本公司网站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（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http://www.mfcteda.com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）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和中国证监会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基金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电子披露网站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（</w:t>
      </w:r>
      <w:r w:rsidRPr="008D7229">
        <w:rPr>
          <w:rFonts w:ascii="仿宋" w:eastAsia="仿宋" w:hAnsi="仿宋" w:cs="Times New Roman" w:hint="eastAsia"/>
          <w:sz w:val="32"/>
          <w:szCs w:val="32"/>
        </w:rPr>
        <w:t>http://eid.csrc.gov.cn/fund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）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披露，供投资者查阅。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如有疑问可拨打本公司客服电话（400-698-8888或010-66555662）咨询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。</w:t>
      </w:r>
    </w:p>
    <w:p w:rsidR="008D7229" w:rsidRPr="008D7229" w:rsidRDefault="008D7229" w:rsidP="008D7229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8D7229" w:rsidRPr="008D7229" w:rsidRDefault="008D7229" w:rsidP="008D7229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特此公告。</w:t>
      </w:r>
    </w:p>
    <w:p w:rsidR="008D7229" w:rsidRPr="008D7229" w:rsidRDefault="008D7229" w:rsidP="008D7229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</w:p>
    <w:p w:rsidR="008D7229" w:rsidRPr="008D7229" w:rsidRDefault="008D7229" w:rsidP="008D7229">
      <w:pPr>
        <w:spacing w:line="540" w:lineRule="exact"/>
        <w:jc w:val="right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泰达宏利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基金管理有限公司</w:t>
      </w:r>
    </w:p>
    <w:p w:rsidR="008D7229" w:rsidRPr="008D7229" w:rsidRDefault="008D7229" w:rsidP="008D7229">
      <w:pPr>
        <w:spacing w:line="540" w:lineRule="exact"/>
        <w:jc w:val="right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2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0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2</w:t>
      </w:r>
      <w:r w:rsidR="00BC6085">
        <w:rPr>
          <w:rFonts w:ascii="仿宋" w:eastAsia="仿宋" w:hAnsi="仿宋" w:cs="Times New Roman" w:hint="eastAsia"/>
          <w:color w:val="000000"/>
          <w:sz w:val="32"/>
          <w:szCs w:val="32"/>
        </w:rPr>
        <w:t>1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年</w:t>
      </w:r>
      <w:r w:rsidR="00C238EA">
        <w:rPr>
          <w:rFonts w:ascii="仿宋" w:eastAsia="仿宋" w:hAnsi="仿宋" w:cs="Times New Roman" w:hint="eastAsia"/>
          <w:color w:val="000000"/>
          <w:sz w:val="32"/>
          <w:szCs w:val="32"/>
        </w:rPr>
        <w:t>10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月</w:t>
      </w:r>
      <w:r w:rsidR="002978FC">
        <w:rPr>
          <w:rFonts w:ascii="仿宋" w:eastAsia="仿宋" w:hAnsi="仿宋" w:cs="Times New Roman"/>
          <w:color w:val="000000"/>
          <w:sz w:val="32"/>
          <w:szCs w:val="32"/>
        </w:rPr>
        <w:t>2</w:t>
      </w:r>
      <w:r w:rsidR="00C238EA">
        <w:rPr>
          <w:rFonts w:ascii="仿宋" w:eastAsia="仿宋" w:hAnsi="仿宋" w:cs="Times New Roman" w:hint="eastAsia"/>
          <w:color w:val="000000"/>
          <w:sz w:val="32"/>
          <w:szCs w:val="32"/>
        </w:rPr>
        <w:t>7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日</w:t>
      </w:r>
    </w:p>
    <w:p w:rsidR="00697A19" w:rsidRDefault="00697A19"/>
    <w:sectPr w:rsidR="00697A19" w:rsidSect="00FC7007">
      <w:footerReference w:type="default" r:id="rId6"/>
      <w:footerReference w:type="first" r:id="rId7"/>
      <w:pgSz w:w="11906" w:h="16838"/>
      <w:pgMar w:top="1985" w:right="155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6B4" w:rsidRDefault="009166B4" w:rsidP="008D7229">
      <w:r>
        <w:separator/>
      </w:r>
    </w:p>
  </w:endnote>
  <w:endnote w:type="continuationSeparator" w:id="0">
    <w:p w:rsidR="009166B4" w:rsidRDefault="009166B4" w:rsidP="008D7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FD43E7">
        <w:pPr>
          <w:pStyle w:val="a4"/>
          <w:jc w:val="center"/>
        </w:pPr>
        <w:r>
          <w:fldChar w:fldCharType="begin"/>
        </w:r>
        <w:r w:rsidR="003736AD">
          <w:instrText>PAGE   \* MERGEFORMAT</w:instrText>
        </w:r>
        <w:r>
          <w:fldChar w:fldCharType="separate"/>
        </w:r>
        <w:r w:rsidR="007A659E" w:rsidRPr="007A659E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7A659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FD43E7">
        <w:pPr>
          <w:pStyle w:val="a4"/>
          <w:jc w:val="center"/>
        </w:pPr>
        <w:r>
          <w:fldChar w:fldCharType="begin"/>
        </w:r>
        <w:r w:rsidR="003736AD">
          <w:instrText>PAGE   \* MERGEFORMAT</w:instrText>
        </w:r>
        <w:r>
          <w:fldChar w:fldCharType="separate"/>
        </w:r>
        <w:r w:rsidR="007A659E" w:rsidRPr="007A659E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7A659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6B4" w:rsidRDefault="009166B4" w:rsidP="008D7229">
      <w:r>
        <w:separator/>
      </w:r>
    </w:p>
  </w:footnote>
  <w:footnote w:type="continuationSeparator" w:id="0">
    <w:p w:rsidR="009166B4" w:rsidRDefault="009166B4" w:rsidP="008D72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4564"/>
    <w:rsid w:val="00001619"/>
    <w:rsid w:val="00054564"/>
    <w:rsid w:val="000D0F91"/>
    <w:rsid w:val="000D1A66"/>
    <w:rsid w:val="001C0CD9"/>
    <w:rsid w:val="001C279A"/>
    <w:rsid w:val="0021715F"/>
    <w:rsid w:val="002978FC"/>
    <w:rsid w:val="003736AD"/>
    <w:rsid w:val="004F06FA"/>
    <w:rsid w:val="00562F39"/>
    <w:rsid w:val="00662AEF"/>
    <w:rsid w:val="00697A19"/>
    <w:rsid w:val="00770C49"/>
    <w:rsid w:val="007A55DC"/>
    <w:rsid w:val="007A659E"/>
    <w:rsid w:val="008D7229"/>
    <w:rsid w:val="009166B4"/>
    <w:rsid w:val="00BC6085"/>
    <w:rsid w:val="00C238EA"/>
    <w:rsid w:val="00CB37BD"/>
    <w:rsid w:val="00D65570"/>
    <w:rsid w:val="00F40E3A"/>
    <w:rsid w:val="00F52559"/>
    <w:rsid w:val="00FD4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72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72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72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72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242</Words>
  <Characters>1385</Characters>
  <Application>Microsoft Office Word</Application>
  <DocSecurity>4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于烨</dc:creator>
  <cp:keywords/>
  <dc:description/>
  <cp:lastModifiedBy>ZHONGM</cp:lastModifiedBy>
  <cp:revision>2</cp:revision>
  <dcterms:created xsi:type="dcterms:W3CDTF">2021-10-26T16:02:00Z</dcterms:created>
  <dcterms:modified xsi:type="dcterms:W3CDTF">2021-10-26T16:02:00Z</dcterms:modified>
</cp:coreProperties>
</file>