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bookmarkStart w:id="0" w:name="_GoBack"/>
      <w:bookmarkEnd w:id="0"/>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A1737A" w:rsidRPr="003D0232">
        <w:rPr>
          <w:rFonts w:ascii="Times New Roman" w:eastAsia="宋体" w:hAnsi="Times New Roman" w:cs="Times New Roman"/>
          <w:b/>
          <w:color w:val="000000" w:themeColor="text1"/>
          <w:sz w:val="28"/>
          <w:szCs w:val="28"/>
        </w:rPr>
        <w:t>202</w:t>
      </w:r>
      <w:r w:rsidR="00A1737A">
        <w:rPr>
          <w:rFonts w:ascii="Times New Roman" w:eastAsia="宋体" w:hAnsi="Times New Roman" w:cs="Times New Roman"/>
          <w:b/>
          <w:color w:val="000000" w:themeColor="text1"/>
          <w:sz w:val="28"/>
          <w:szCs w:val="28"/>
        </w:rPr>
        <w:t>1</w:t>
      </w:r>
      <w:r w:rsidRPr="003D0232">
        <w:rPr>
          <w:rFonts w:ascii="Times New Roman" w:eastAsia="宋体" w:hAnsi="Times New Roman" w:cs="Times New Roman"/>
          <w:b/>
          <w:color w:val="000000" w:themeColor="text1"/>
          <w:sz w:val="28"/>
          <w:szCs w:val="28"/>
        </w:rPr>
        <w:t>年</w:t>
      </w:r>
      <w:r w:rsidR="004A0F40" w:rsidRPr="003D0232">
        <w:rPr>
          <w:rFonts w:ascii="Times New Roman" w:eastAsia="宋体" w:hAnsi="Times New Roman" w:cs="Times New Roman"/>
          <w:b/>
          <w:color w:val="000000" w:themeColor="text1"/>
          <w:sz w:val="28"/>
          <w:szCs w:val="28"/>
        </w:rPr>
        <w:t>第</w:t>
      </w:r>
      <w:r w:rsidR="006B4016">
        <w:rPr>
          <w:rFonts w:ascii="Times New Roman" w:eastAsia="宋体" w:hAnsi="Times New Roman" w:cs="Times New Roman" w:hint="eastAsia"/>
          <w:b/>
          <w:color w:val="000000" w:themeColor="text1"/>
          <w:sz w:val="28"/>
          <w:szCs w:val="28"/>
        </w:rPr>
        <w:t>三</w:t>
      </w:r>
      <w:r w:rsidR="00BB3501" w:rsidRPr="003D0232">
        <w:rPr>
          <w:rFonts w:ascii="Times New Roman" w:eastAsia="宋体" w:hAnsi="Times New Roman" w:cs="Times New Roman"/>
          <w:b/>
          <w:color w:val="000000" w:themeColor="text1"/>
          <w:sz w:val="28"/>
          <w:szCs w:val="28"/>
        </w:rPr>
        <w:t>季度报告提示性公告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A1737A" w:rsidRPr="003D0232">
        <w:rPr>
          <w:rFonts w:ascii="Times New Roman" w:eastAsia="宋体" w:hAnsi="Times New Roman" w:cs="Times New Roman"/>
          <w:color w:val="000000" w:themeColor="text1"/>
          <w:szCs w:val="21"/>
        </w:rPr>
        <w:t>202</w:t>
      </w:r>
      <w:r w:rsidR="00A1737A">
        <w:rPr>
          <w:rFonts w:ascii="Times New Roman" w:eastAsia="宋体" w:hAnsi="Times New Roman" w:cs="Times New Roman"/>
          <w:color w:val="000000" w:themeColor="text1"/>
          <w:szCs w:val="21"/>
        </w:rPr>
        <w:t>1</w:t>
      </w:r>
      <w:r w:rsidR="004E1E31" w:rsidRPr="003D0232">
        <w:rPr>
          <w:rFonts w:ascii="Times New Roman" w:eastAsia="宋体" w:hAnsi="Times New Roman" w:cs="Times New Roman"/>
          <w:color w:val="000000" w:themeColor="text1"/>
          <w:szCs w:val="21"/>
        </w:rPr>
        <w:t>年</w:t>
      </w:r>
      <w:r w:rsidR="004A0F40" w:rsidRPr="003D0232">
        <w:rPr>
          <w:rFonts w:ascii="Times New Roman" w:eastAsia="宋体" w:hAnsi="Times New Roman" w:cs="Times New Roman"/>
          <w:color w:val="000000" w:themeColor="text1"/>
          <w:szCs w:val="21"/>
        </w:rPr>
        <w:t>第</w:t>
      </w:r>
      <w:r w:rsidR="006B4016">
        <w:rPr>
          <w:rFonts w:ascii="Times New Roman" w:eastAsia="宋体" w:hAnsi="Times New Roman" w:cs="Times New Roman" w:hint="eastAsia"/>
          <w:color w:val="000000" w:themeColor="text1"/>
          <w:szCs w:val="21"/>
        </w:rPr>
        <w:t>三</w:t>
      </w:r>
      <w:r w:rsidR="00B16987" w:rsidRPr="003D0232">
        <w:rPr>
          <w:rFonts w:ascii="Times New Roman" w:eastAsia="宋体" w:hAnsi="Times New Roman" w:cs="Times New Roman"/>
          <w:color w:val="000000" w:themeColor="text1"/>
          <w:szCs w:val="21"/>
        </w:rPr>
        <w:t>季度报告所载资料不存在虚假记载、误导性陈述或重大遗漏，并对其内容的真实性、准确性和完整性承担个别及连带责任。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D567C0" w:rsidRPr="003D0232">
        <w:rPr>
          <w:rFonts w:ascii="Times New Roman" w:eastAsia="宋体" w:hAnsi="Times New Roman" w:cs="Times New Roman"/>
          <w:color w:val="000000" w:themeColor="text1"/>
          <w:szCs w:val="21"/>
        </w:rPr>
        <w:t>1</w:t>
      </w:r>
      <w:r w:rsidR="006B4016">
        <w:rPr>
          <w:rFonts w:ascii="Times New Roman" w:eastAsia="宋体" w:hAnsi="Times New Roman" w:cs="Times New Roman" w:hint="eastAsia"/>
          <w:color w:val="000000" w:themeColor="text1"/>
          <w:szCs w:val="21"/>
        </w:rPr>
        <w:t>82</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A1737A" w:rsidRPr="003D0232">
        <w:rPr>
          <w:rFonts w:ascii="Times New Roman" w:eastAsia="宋体" w:hAnsi="Times New Roman" w:cs="Times New Roman"/>
          <w:color w:val="000000" w:themeColor="text1"/>
          <w:szCs w:val="21"/>
        </w:rPr>
        <w:t>202</w:t>
      </w:r>
      <w:r w:rsidR="00A1737A">
        <w:rPr>
          <w:rFonts w:ascii="Times New Roman" w:eastAsia="宋体" w:hAnsi="Times New Roman" w:cs="Times New Roman"/>
          <w:color w:val="000000" w:themeColor="text1"/>
          <w:szCs w:val="21"/>
        </w:rPr>
        <w:t>1</w:t>
      </w:r>
      <w:r w:rsidR="004E1E31" w:rsidRPr="003D0232">
        <w:rPr>
          <w:rFonts w:ascii="Times New Roman" w:eastAsia="宋体" w:hAnsi="Times New Roman" w:cs="Times New Roman"/>
          <w:color w:val="000000" w:themeColor="text1"/>
          <w:szCs w:val="21"/>
        </w:rPr>
        <w:t>年</w:t>
      </w:r>
      <w:r w:rsidR="004A0F40" w:rsidRPr="003D0232">
        <w:rPr>
          <w:rFonts w:ascii="Times New Roman" w:eastAsia="宋体" w:hAnsi="Times New Roman" w:cs="Times New Roman"/>
          <w:color w:val="000000" w:themeColor="text1"/>
          <w:szCs w:val="21"/>
        </w:rPr>
        <w:t>第</w:t>
      </w:r>
      <w:r w:rsidR="006B4016">
        <w:rPr>
          <w:rFonts w:ascii="Times New Roman" w:eastAsia="宋体" w:hAnsi="Times New Roman" w:cs="Times New Roman" w:hint="eastAsia"/>
          <w:color w:val="000000" w:themeColor="text1"/>
          <w:szCs w:val="21"/>
        </w:rPr>
        <w:t>三</w:t>
      </w:r>
      <w:r w:rsidR="00BB3501" w:rsidRPr="003D0232">
        <w:rPr>
          <w:rFonts w:ascii="Times New Roman" w:eastAsia="宋体" w:hAnsi="Times New Roman" w:cs="Times New Roman"/>
          <w:color w:val="000000" w:themeColor="text1"/>
          <w:szCs w:val="21"/>
        </w:rPr>
        <w:t>季度报告全文于</w:t>
      </w:r>
      <w:r w:rsidR="006B4016" w:rsidRPr="003D0232">
        <w:rPr>
          <w:rFonts w:ascii="Times New Roman" w:eastAsia="宋体" w:hAnsi="Times New Roman" w:cs="Times New Roman"/>
          <w:color w:val="000000" w:themeColor="text1"/>
          <w:szCs w:val="21"/>
        </w:rPr>
        <w:t>202</w:t>
      </w:r>
      <w:r w:rsidR="006B4016">
        <w:rPr>
          <w:rFonts w:ascii="Times New Roman" w:eastAsia="宋体" w:hAnsi="Times New Roman" w:cs="Times New Roman"/>
          <w:color w:val="000000" w:themeColor="text1"/>
          <w:szCs w:val="21"/>
        </w:rPr>
        <w:t>1</w:t>
      </w:r>
      <w:r w:rsidR="006B4016" w:rsidRPr="003D0232">
        <w:rPr>
          <w:rFonts w:ascii="Times New Roman" w:eastAsia="宋体" w:hAnsi="Times New Roman" w:cs="Times New Roman"/>
          <w:color w:val="000000" w:themeColor="text1"/>
          <w:szCs w:val="21"/>
        </w:rPr>
        <w:t>年</w:t>
      </w:r>
      <w:r w:rsidR="006B4016">
        <w:rPr>
          <w:rFonts w:ascii="Times New Roman" w:eastAsia="宋体" w:hAnsi="Times New Roman" w:cs="Times New Roman"/>
          <w:color w:val="000000" w:themeColor="text1"/>
          <w:szCs w:val="21"/>
        </w:rPr>
        <w:t>10</w:t>
      </w:r>
      <w:r w:rsidR="00BB3501" w:rsidRPr="003D0232">
        <w:rPr>
          <w:rFonts w:ascii="Times New Roman" w:eastAsia="宋体" w:hAnsi="Times New Roman" w:cs="Times New Roman"/>
          <w:color w:val="000000" w:themeColor="text1"/>
          <w:szCs w:val="21"/>
        </w:rPr>
        <w:t>月</w:t>
      </w:r>
      <w:r w:rsidR="006B4016" w:rsidRPr="003D0232">
        <w:rPr>
          <w:rFonts w:ascii="Times New Roman" w:eastAsia="宋体" w:hAnsi="Times New Roman" w:cs="Times New Roman"/>
          <w:color w:val="000000" w:themeColor="text1"/>
          <w:szCs w:val="21"/>
        </w:rPr>
        <w:t>2</w:t>
      </w:r>
      <w:r w:rsidR="006B4016">
        <w:rPr>
          <w:rFonts w:ascii="Times New Roman" w:eastAsia="宋体" w:hAnsi="Times New Roman" w:cs="Times New Roman"/>
          <w:color w:val="000000" w:themeColor="text1"/>
          <w:szCs w:val="21"/>
        </w:rPr>
        <w:t>7</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6B4016"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1</w:t>
      </w:r>
      <w:r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10</w:t>
      </w:r>
      <w:r w:rsidR="004E1E31" w:rsidRPr="003D0232">
        <w:rPr>
          <w:rFonts w:ascii="Times New Roman" w:eastAsia="宋体" w:hAnsi="Times New Roman" w:cs="Times New Roman"/>
          <w:color w:val="000000" w:themeColor="text1"/>
          <w:szCs w:val="21"/>
        </w:rPr>
        <w:t>月</w:t>
      </w:r>
      <w:r w:rsidRPr="003D0232">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7</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7584"/>
      </w:tblGrid>
      <w:tr w:rsidR="002A0DAE" w:rsidRPr="003D0232" w:rsidTr="000303A0">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584"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584" w:type="dxa"/>
            <w:shd w:val="clear" w:color="auto" w:fill="auto"/>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国泰民安增利债券型发起式证券投资基金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584"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国泰睿吉灵活配置混合型证券投资基金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2A0DAE" w:rsidRPr="003D0232" w:rsidTr="000303A0">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584" w:type="dxa"/>
            <w:shd w:val="clear" w:color="auto" w:fill="auto"/>
            <w:vAlign w:val="center"/>
            <w:hideMark/>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国泰融信灵活配置混合型证券投资基金（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60</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国泰民丰回报定期开放灵活配置混合型证券投资基金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D30B42" w:rsidRPr="003D0232" w:rsidTr="000303A0">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国泰招惠收益定期开放债券型证券投资基金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73</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74</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国泰量化成长优选混合型证券投资基金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78</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国泰恒生港股通指数证券投资基金（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83</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国泰价值优选灵活配置混合型证券投资基金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D567C0" w:rsidRPr="003D0232" w:rsidTr="000303A0">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D567C0" w:rsidRPr="003D0232" w:rsidTr="000303A0">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国泰惠泰一年定期开放债券型发起式证券投资基金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D567C0" w:rsidRPr="003D0232" w:rsidTr="000303A0">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584" w:type="dxa"/>
            <w:shd w:val="clear" w:color="auto" w:fill="auto"/>
            <w:noWrap/>
            <w:vAlign w:val="center"/>
          </w:tcPr>
          <w:p w:rsidR="00D567C0" w:rsidRPr="003D0232"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国泰浩益</w:t>
            </w:r>
            <w:r w:rsidRPr="00784BE8">
              <w:rPr>
                <w:rFonts w:ascii="Times New Roman" w:eastAsia="宋体" w:hAnsi="Times New Roman" w:cs="Times New Roman" w:hint="eastAsia"/>
                <w:szCs w:val="21"/>
              </w:rPr>
              <w:t>18</w:t>
            </w:r>
            <w:r w:rsidRPr="00784BE8">
              <w:rPr>
                <w:rFonts w:ascii="Times New Roman" w:eastAsia="宋体" w:hAnsi="Times New Roman" w:cs="Times New Roman" w:hint="eastAsia"/>
                <w:szCs w:val="21"/>
              </w:rPr>
              <w:t>个月封闭运作混合型证券投资基金</w:t>
            </w:r>
          </w:p>
        </w:tc>
      </w:tr>
      <w:tr w:rsidR="00D567C0" w:rsidRPr="003D0232" w:rsidTr="000303A0">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584"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D567C0" w:rsidRPr="003D0232" w:rsidTr="000303A0">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584"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D567C0" w:rsidRPr="003D0232" w:rsidTr="000303A0">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584"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D567C0" w:rsidRPr="003D0232" w:rsidTr="000303A0">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584"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D567C0" w:rsidRPr="003D0232" w:rsidTr="000303A0">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584"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D567C0" w:rsidRPr="003D0232" w:rsidTr="000303A0">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584"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r w:rsidR="00D567C0" w:rsidRPr="003D0232" w:rsidTr="000303A0">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584"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A1737A">
              <w:rPr>
                <w:rFonts w:ascii="Times New Roman" w:eastAsia="宋体" w:hAnsi="Times New Roman" w:cs="Times New Roman" w:hint="eastAsia"/>
                <w:szCs w:val="21"/>
              </w:rPr>
              <w:t>国泰中证医疗交易型开放式指数证券投资基金</w:t>
            </w:r>
          </w:p>
        </w:tc>
      </w:tr>
      <w:tr w:rsidR="00D567C0" w:rsidRPr="003D0232" w:rsidTr="000303A0">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51</w:t>
            </w:r>
          </w:p>
        </w:tc>
        <w:tc>
          <w:tcPr>
            <w:tcW w:w="7584" w:type="dxa"/>
            <w:shd w:val="clear" w:color="auto" w:fill="auto"/>
            <w:noWrap/>
            <w:vAlign w:val="center"/>
          </w:tcPr>
          <w:p w:rsidR="00D567C0" w:rsidRPr="00784BE8" w:rsidRDefault="00D567C0" w:rsidP="00D567C0">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国泰金福三个月定期开放混合型发起式证券投资基金</w:t>
            </w:r>
          </w:p>
        </w:tc>
      </w:tr>
      <w:tr w:rsidR="00D567C0" w:rsidRPr="003D0232" w:rsidTr="000303A0">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52</w:t>
            </w:r>
          </w:p>
        </w:tc>
        <w:tc>
          <w:tcPr>
            <w:tcW w:w="7584" w:type="dxa"/>
            <w:shd w:val="clear" w:color="auto" w:fill="auto"/>
            <w:noWrap/>
            <w:vAlign w:val="center"/>
          </w:tcPr>
          <w:p w:rsidR="00D567C0" w:rsidRPr="00784BE8" w:rsidRDefault="00D567C0" w:rsidP="00D567C0">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国泰上证综合交易型开放式指数证券投资基金发起式联接基金</w:t>
            </w:r>
          </w:p>
        </w:tc>
      </w:tr>
      <w:tr w:rsidR="004735DD" w:rsidRPr="003D0232" w:rsidTr="000303A0">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53</w:t>
            </w:r>
          </w:p>
        </w:tc>
        <w:tc>
          <w:tcPr>
            <w:tcW w:w="7584" w:type="dxa"/>
            <w:shd w:val="clear" w:color="auto" w:fill="auto"/>
            <w:noWrap/>
          </w:tcPr>
          <w:p w:rsidR="004735DD" w:rsidRPr="00784BE8" w:rsidRDefault="004735DD" w:rsidP="004735DD">
            <w:pPr>
              <w:widowControl/>
              <w:jc w:val="left"/>
              <w:rPr>
                <w:rFonts w:ascii="Times New Roman" w:eastAsia="宋体" w:hAnsi="Times New Roman" w:cs="Times New Roman"/>
                <w:szCs w:val="21"/>
              </w:rPr>
            </w:pPr>
            <w:r w:rsidRPr="0026711C">
              <w:rPr>
                <w:rFonts w:hint="eastAsia"/>
              </w:rPr>
              <w:t>国泰合益混合型证券投资基金</w:t>
            </w:r>
          </w:p>
        </w:tc>
      </w:tr>
      <w:tr w:rsidR="004735DD" w:rsidRPr="003D0232" w:rsidTr="000303A0">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54</w:t>
            </w:r>
          </w:p>
        </w:tc>
        <w:tc>
          <w:tcPr>
            <w:tcW w:w="7584"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26711C">
              <w:rPr>
                <w:rFonts w:hint="eastAsia"/>
              </w:rPr>
              <w:t>国泰中证全指软件交易型开放式指数证券投资基金</w:t>
            </w:r>
          </w:p>
        </w:tc>
      </w:tr>
      <w:tr w:rsidR="004735DD" w:rsidRPr="003D0232" w:rsidTr="000303A0">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55</w:t>
            </w:r>
          </w:p>
        </w:tc>
        <w:tc>
          <w:tcPr>
            <w:tcW w:w="7584"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26711C">
              <w:rPr>
                <w:rFonts w:hint="eastAsia"/>
              </w:rPr>
              <w:t>国泰通利</w:t>
            </w:r>
            <w:r w:rsidRPr="0026711C">
              <w:rPr>
                <w:rFonts w:hint="eastAsia"/>
              </w:rPr>
              <w:t>9</w:t>
            </w:r>
            <w:r w:rsidRPr="0026711C">
              <w:rPr>
                <w:rFonts w:hint="eastAsia"/>
              </w:rPr>
              <w:t>个月持有期混合型证券投资基金</w:t>
            </w:r>
          </w:p>
        </w:tc>
      </w:tr>
      <w:tr w:rsidR="004735DD" w:rsidRPr="003D0232" w:rsidTr="000303A0">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56</w:t>
            </w:r>
          </w:p>
        </w:tc>
        <w:tc>
          <w:tcPr>
            <w:tcW w:w="7584"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A7DA7">
              <w:rPr>
                <w:rFonts w:hint="eastAsia"/>
              </w:rPr>
              <w:t>国泰中证动漫游戏交易型开放式指数证券投资基金</w:t>
            </w:r>
          </w:p>
        </w:tc>
      </w:tr>
      <w:tr w:rsidR="004735DD" w:rsidRPr="003D0232" w:rsidTr="000303A0">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57</w:t>
            </w:r>
          </w:p>
        </w:tc>
        <w:tc>
          <w:tcPr>
            <w:tcW w:w="7584"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A7DA7">
              <w:rPr>
                <w:rFonts w:hint="eastAsia"/>
              </w:rPr>
              <w:t>国泰中证畜牧养殖交易型开放式指数证券投资基金</w:t>
            </w:r>
          </w:p>
        </w:tc>
      </w:tr>
      <w:tr w:rsidR="004735DD" w:rsidRPr="003D0232" w:rsidTr="000303A0">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58</w:t>
            </w:r>
          </w:p>
        </w:tc>
        <w:tc>
          <w:tcPr>
            <w:tcW w:w="7584"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A7DA7">
              <w:rPr>
                <w:rFonts w:hint="eastAsia"/>
              </w:rPr>
              <w:t>国泰中证细分化工产业主题交易型开放式指数证券投资基金</w:t>
            </w:r>
          </w:p>
        </w:tc>
      </w:tr>
      <w:tr w:rsidR="004735DD" w:rsidRPr="003D0232" w:rsidTr="000303A0">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59</w:t>
            </w:r>
          </w:p>
        </w:tc>
        <w:tc>
          <w:tcPr>
            <w:tcW w:w="7584"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A7DA7">
              <w:rPr>
                <w:rFonts w:hint="eastAsia"/>
              </w:rPr>
              <w:t>国泰价值先锋股票型证券投资基金</w:t>
            </w:r>
          </w:p>
        </w:tc>
      </w:tr>
      <w:tr w:rsidR="004735DD" w:rsidRPr="003D0232" w:rsidTr="000303A0">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60</w:t>
            </w:r>
          </w:p>
        </w:tc>
        <w:tc>
          <w:tcPr>
            <w:tcW w:w="7584"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3562E7">
              <w:rPr>
                <w:rFonts w:hint="eastAsia"/>
              </w:rPr>
              <w:t>国泰中证环保产业</w:t>
            </w:r>
            <w:r w:rsidRPr="003562E7">
              <w:rPr>
                <w:rFonts w:hint="eastAsia"/>
              </w:rPr>
              <w:t>50</w:t>
            </w:r>
            <w:r w:rsidRPr="003562E7">
              <w:rPr>
                <w:rFonts w:hint="eastAsia"/>
              </w:rPr>
              <w:t>交易型开放式指数证券投资基金</w:t>
            </w:r>
          </w:p>
        </w:tc>
      </w:tr>
      <w:tr w:rsidR="004735DD" w:rsidRPr="003D0232" w:rsidTr="000303A0">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61</w:t>
            </w:r>
          </w:p>
        </w:tc>
        <w:tc>
          <w:tcPr>
            <w:tcW w:w="7584"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3562E7">
              <w:rPr>
                <w:rFonts w:hint="eastAsia"/>
              </w:rPr>
              <w:t>国泰成长价值混合型证券投资基金</w:t>
            </w:r>
          </w:p>
        </w:tc>
      </w:tr>
      <w:tr w:rsidR="004735DD" w:rsidRPr="003D0232" w:rsidTr="000303A0">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62</w:t>
            </w:r>
          </w:p>
        </w:tc>
        <w:tc>
          <w:tcPr>
            <w:tcW w:w="7584"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E06CD">
              <w:rPr>
                <w:rFonts w:hint="eastAsia"/>
              </w:rPr>
              <w:t>国泰中证细分机械设备产业主题交易型开放式指数证券投资基金</w:t>
            </w:r>
          </w:p>
        </w:tc>
      </w:tr>
      <w:tr w:rsidR="004735DD" w:rsidRPr="003D0232" w:rsidTr="000303A0">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63</w:t>
            </w:r>
          </w:p>
        </w:tc>
        <w:tc>
          <w:tcPr>
            <w:tcW w:w="7584"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E06CD">
              <w:rPr>
                <w:rFonts w:hint="eastAsia"/>
              </w:rPr>
              <w:t>国泰中证</w:t>
            </w:r>
            <w:r w:rsidRPr="008E06CD">
              <w:rPr>
                <w:rFonts w:hint="eastAsia"/>
              </w:rPr>
              <w:t>800</w:t>
            </w:r>
            <w:r w:rsidRPr="008E06CD">
              <w:rPr>
                <w:rFonts w:hint="eastAsia"/>
              </w:rPr>
              <w:t>汽车与零部件交易型开放式指数证券投资基金</w:t>
            </w:r>
          </w:p>
        </w:tc>
      </w:tr>
      <w:tr w:rsidR="004735DD" w:rsidRPr="003D0232" w:rsidTr="000303A0">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64</w:t>
            </w:r>
          </w:p>
        </w:tc>
        <w:tc>
          <w:tcPr>
            <w:tcW w:w="7584"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E06CD">
              <w:rPr>
                <w:rFonts w:hint="eastAsia"/>
              </w:rPr>
              <w:t>国泰同益</w:t>
            </w:r>
            <w:r w:rsidRPr="008E06CD">
              <w:rPr>
                <w:rFonts w:hint="eastAsia"/>
              </w:rPr>
              <w:t>18</w:t>
            </w:r>
            <w:r w:rsidRPr="008E06CD">
              <w:rPr>
                <w:rFonts w:hint="eastAsia"/>
              </w:rPr>
              <w:t>个月持有期混合型证券投资基金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165</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国泰诚益混合型证券投资基金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166</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国泰鑫享稳健</w:t>
            </w:r>
            <w:r w:rsidRPr="000303A0">
              <w:rPr>
                <w:rFonts w:ascii="Times New Roman" w:eastAsia="宋体" w:hAnsi="Times New Roman" w:cs="Times New Roman"/>
                <w:kern w:val="0"/>
                <w:szCs w:val="21"/>
              </w:rPr>
              <w:t>6</w:t>
            </w:r>
            <w:r w:rsidRPr="000303A0">
              <w:rPr>
                <w:rFonts w:ascii="Times New Roman" w:eastAsia="宋体" w:hAnsi="Times New Roman" w:cs="Times New Roman" w:hint="eastAsia"/>
                <w:kern w:val="0"/>
                <w:szCs w:val="21"/>
              </w:rPr>
              <w:t>个月滚动持有债券型证券投资基金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167</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国泰中证全指证券公司交易型开放式指数证券投资基金发起式联接基金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168</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国泰核心价值两年持有期股票型证券投资基金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169</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国泰中证环保产业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交易型开放式指数证券投资基金发起式联接基金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170</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国泰中证细分机械设备产业主题交易型开放式指数证券投资基金发起式联接基金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171</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国泰中证全指建筑材料交易型开放式指数证券投资基金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172</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国泰中证有色金属交易型开放式指数证券投资基金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173</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国泰佳益混合型证券投资基金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174</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国泰利优</w:t>
            </w:r>
            <w:r w:rsidRPr="000303A0">
              <w:rPr>
                <w:rFonts w:ascii="Times New Roman" w:eastAsia="宋体" w:hAnsi="Times New Roman" w:cs="Times New Roman"/>
                <w:kern w:val="0"/>
                <w:szCs w:val="21"/>
              </w:rPr>
              <w:t>30</w:t>
            </w:r>
            <w:r w:rsidRPr="000303A0">
              <w:rPr>
                <w:rFonts w:ascii="Times New Roman" w:eastAsia="宋体" w:hAnsi="Times New Roman" w:cs="Times New Roman" w:hint="eastAsia"/>
                <w:kern w:val="0"/>
                <w:szCs w:val="21"/>
              </w:rPr>
              <w:t>天滚动持有短债债券型证券投资基金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175</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国泰中证医疗交易型开放式指数证券投资基金发起式联接基金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176</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国泰中证全指软件交易型开放式指数证券投资基金发起式联接基金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177</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国泰中证动漫游戏交易型开放式指数证券投资基金发起式联接基金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178</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国泰中证细分化工产业主题交易型开放式指数证券投资基金发起式联接基金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179</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国泰中证科创创业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180</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国泰中证畜牧养殖交易型开放式指数证券投资基金发起式联接基金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181</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国泰瑞泰纯债债券型证券投资基金</w:t>
            </w:r>
          </w:p>
        </w:tc>
      </w:tr>
      <w:tr w:rsidR="006B4016" w:rsidRPr="003D0232" w:rsidTr="000303A0">
        <w:trPr>
          <w:trHeight w:val="284"/>
          <w:jc w:val="center"/>
        </w:trPr>
        <w:tc>
          <w:tcPr>
            <w:tcW w:w="775" w:type="dxa"/>
            <w:shd w:val="clear" w:color="auto" w:fill="auto"/>
            <w:noWrap/>
            <w:vAlign w:val="center"/>
          </w:tcPr>
          <w:p w:rsidR="006B4016" w:rsidRDefault="006B4016" w:rsidP="006B4016">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182</w:t>
            </w:r>
          </w:p>
        </w:tc>
        <w:tc>
          <w:tcPr>
            <w:tcW w:w="7584" w:type="dxa"/>
            <w:shd w:val="clear" w:color="auto" w:fill="auto"/>
            <w:noWrap/>
            <w:vAlign w:val="center"/>
          </w:tcPr>
          <w:p w:rsidR="006B4016" w:rsidRPr="000303A0" w:rsidRDefault="006B4016" w:rsidP="006B4016">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国泰中证光伏产业交易型开放式指数证券投资基金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D8" w:rsidRDefault="00990BD8" w:rsidP="009A149B">
      <w:r>
        <w:separator/>
      </w:r>
    </w:p>
  </w:endnote>
  <w:endnote w:type="continuationSeparator" w:id="0">
    <w:p w:rsidR="00990BD8" w:rsidRDefault="00990BD8"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C26C5">
        <w:pPr>
          <w:pStyle w:val="a4"/>
          <w:jc w:val="center"/>
        </w:pPr>
        <w:r>
          <w:fldChar w:fldCharType="begin"/>
        </w:r>
        <w:r w:rsidR="00084E7D">
          <w:instrText>PAGE   \* MERGEFORMAT</w:instrText>
        </w:r>
        <w:r>
          <w:fldChar w:fldCharType="separate"/>
        </w:r>
        <w:r w:rsidR="00DC7151" w:rsidRPr="00DC7151">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C26C5">
        <w:pPr>
          <w:pStyle w:val="a4"/>
          <w:jc w:val="center"/>
        </w:pPr>
        <w:r>
          <w:fldChar w:fldCharType="begin"/>
        </w:r>
        <w:r w:rsidR="00084E7D">
          <w:instrText>PAGE   \* MERGEFORMAT</w:instrText>
        </w:r>
        <w:r>
          <w:fldChar w:fldCharType="separate"/>
        </w:r>
        <w:r w:rsidR="00DC7151" w:rsidRPr="00DC7151">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D8" w:rsidRDefault="00990BD8" w:rsidP="009A149B">
      <w:r>
        <w:separator/>
      </w:r>
    </w:p>
  </w:footnote>
  <w:footnote w:type="continuationSeparator" w:id="0">
    <w:p w:rsidR="00990BD8" w:rsidRDefault="00990BD8"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03A0"/>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C26C5"/>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23CF"/>
    <w:rsid w:val="00165D5C"/>
    <w:rsid w:val="00166B15"/>
    <w:rsid w:val="00174C8C"/>
    <w:rsid w:val="0017571E"/>
    <w:rsid w:val="00175AED"/>
    <w:rsid w:val="00191702"/>
    <w:rsid w:val="00192262"/>
    <w:rsid w:val="001A3EF8"/>
    <w:rsid w:val="001A593B"/>
    <w:rsid w:val="001B000D"/>
    <w:rsid w:val="001D04AB"/>
    <w:rsid w:val="001D081D"/>
    <w:rsid w:val="001D2521"/>
    <w:rsid w:val="001D74AE"/>
    <w:rsid w:val="001E7CAD"/>
    <w:rsid w:val="001F125D"/>
    <w:rsid w:val="001F15CB"/>
    <w:rsid w:val="001F533E"/>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303860"/>
    <w:rsid w:val="00311075"/>
    <w:rsid w:val="003117E6"/>
    <w:rsid w:val="003126D8"/>
    <w:rsid w:val="0031471A"/>
    <w:rsid w:val="00332619"/>
    <w:rsid w:val="00333802"/>
    <w:rsid w:val="0034441D"/>
    <w:rsid w:val="003467B5"/>
    <w:rsid w:val="00347D38"/>
    <w:rsid w:val="00355B7C"/>
    <w:rsid w:val="00361065"/>
    <w:rsid w:val="0036248F"/>
    <w:rsid w:val="00382BCB"/>
    <w:rsid w:val="00391944"/>
    <w:rsid w:val="00393949"/>
    <w:rsid w:val="003948AF"/>
    <w:rsid w:val="00394BBC"/>
    <w:rsid w:val="003A4AC6"/>
    <w:rsid w:val="003C2820"/>
    <w:rsid w:val="003C3CB5"/>
    <w:rsid w:val="003C5A1A"/>
    <w:rsid w:val="003D0232"/>
    <w:rsid w:val="003D0424"/>
    <w:rsid w:val="003D32D7"/>
    <w:rsid w:val="003F4E13"/>
    <w:rsid w:val="003F6960"/>
    <w:rsid w:val="0040020D"/>
    <w:rsid w:val="00405ADB"/>
    <w:rsid w:val="00405D55"/>
    <w:rsid w:val="004254EE"/>
    <w:rsid w:val="00430828"/>
    <w:rsid w:val="00430D19"/>
    <w:rsid w:val="00433480"/>
    <w:rsid w:val="0043655D"/>
    <w:rsid w:val="00437D86"/>
    <w:rsid w:val="00441246"/>
    <w:rsid w:val="00441E0B"/>
    <w:rsid w:val="00452A46"/>
    <w:rsid w:val="00454581"/>
    <w:rsid w:val="00454978"/>
    <w:rsid w:val="00467E81"/>
    <w:rsid w:val="004735DD"/>
    <w:rsid w:val="004744B6"/>
    <w:rsid w:val="004748B9"/>
    <w:rsid w:val="00477BA8"/>
    <w:rsid w:val="00477EB2"/>
    <w:rsid w:val="0048111A"/>
    <w:rsid w:val="00483F78"/>
    <w:rsid w:val="00487BF1"/>
    <w:rsid w:val="00491FCB"/>
    <w:rsid w:val="00497943"/>
    <w:rsid w:val="00497A8B"/>
    <w:rsid w:val="004A0E45"/>
    <w:rsid w:val="004A0F40"/>
    <w:rsid w:val="004A54A6"/>
    <w:rsid w:val="004B1105"/>
    <w:rsid w:val="004C3109"/>
    <w:rsid w:val="004C44C4"/>
    <w:rsid w:val="004C625A"/>
    <w:rsid w:val="004C6355"/>
    <w:rsid w:val="004E1D5E"/>
    <w:rsid w:val="004E1E31"/>
    <w:rsid w:val="004E4108"/>
    <w:rsid w:val="004E630B"/>
    <w:rsid w:val="004F7313"/>
    <w:rsid w:val="005158A6"/>
    <w:rsid w:val="0052094C"/>
    <w:rsid w:val="00534A41"/>
    <w:rsid w:val="0053650E"/>
    <w:rsid w:val="00542535"/>
    <w:rsid w:val="00544E6E"/>
    <w:rsid w:val="00546A05"/>
    <w:rsid w:val="00547910"/>
    <w:rsid w:val="00551033"/>
    <w:rsid w:val="00557021"/>
    <w:rsid w:val="005604E1"/>
    <w:rsid w:val="00560AC4"/>
    <w:rsid w:val="00563FE4"/>
    <w:rsid w:val="00567978"/>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1CBC"/>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016"/>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2463"/>
    <w:rsid w:val="00732A03"/>
    <w:rsid w:val="00732F56"/>
    <w:rsid w:val="0074144B"/>
    <w:rsid w:val="00741A3E"/>
    <w:rsid w:val="007443C2"/>
    <w:rsid w:val="00756CAD"/>
    <w:rsid w:val="007629BB"/>
    <w:rsid w:val="00762A82"/>
    <w:rsid w:val="007703B8"/>
    <w:rsid w:val="00771227"/>
    <w:rsid w:val="00772D42"/>
    <w:rsid w:val="00775751"/>
    <w:rsid w:val="00781015"/>
    <w:rsid w:val="00784BE8"/>
    <w:rsid w:val="00787132"/>
    <w:rsid w:val="007900FC"/>
    <w:rsid w:val="00794869"/>
    <w:rsid w:val="007977D6"/>
    <w:rsid w:val="00797876"/>
    <w:rsid w:val="007A5116"/>
    <w:rsid w:val="007A5263"/>
    <w:rsid w:val="007B3A14"/>
    <w:rsid w:val="007B4EC6"/>
    <w:rsid w:val="007B549A"/>
    <w:rsid w:val="007B5745"/>
    <w:rsid w:val="007B6893"/>
    <w:rsid w:val="007B79EB"/>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10F7"/>
    <w:rsid w:val="008721DF"/>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0BD8"/>
    <w:rsid w:val="00991292"/>
    <w:rsid w:val="00991AEE"/>
    <w:rsid w:val="0099252E"/>
    <w:rsid w:val="00993CBF"/>
    <w:rsid w:val="00997D63"/>
    <w:rsid w:val="009A149B"/>
    <w:rsid w:val="009B33C8"/>
    <w:rsid w:val="009B5D57"/>
    <w:rsid w:val="009C15E2"/>
    <w:rsid w:val="009C33BF"/>
    <w:rsid w:val="009C3820"/>
    <w:rsid w:val="009C6BA4"/>
    <w:rsid w:val="009E35EB"/>
    <w:rsid w:val="009E64F2"/>
    <w:rsid w:val="009E7875"/>
    <w:rsid w:val="009F36BB"/>
    <w:rsid w:val="009F72D1"/>
    <w:rsid w:val="00A144A6"/>
    <w:rsid w:val="00A1737A"/>
    <w:rsid w:val="00A21627"/>
    <w:rsid w:val="00A37A94"/>
    <w:rsid w:val="00A41611"/>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8DD"/>
    <w:rsid w:val="00AD562B"/>
    <w:rsid w:val="00AE3F47"/>
    <w:rsid w:val="00AE69BF"/>
    <w:rsid w:val="00AF7347"/>
    <w:rsid w:val="00B014DF"/>
    <w:rsid w:val="00B11B77"/>
    <w:rsid w:val="00B16987"/>
    <w:rsid w:val="00B17EF5"/>
    <w:rsid w:val="00B2068A"/>
    <w:rsid w:val="00B238AA"/>
    <w:rsid w:val="00B23F95"/>
    <w:rsid w:val="00B25BAB"/>
    <w:rsid w:val="00B26285"/>
    <w:rsid w:val="00B33F4A"/>
    <w:rsid w:val="00B41297"/>
    <w:rsid w:val="00B504F2"/>
    <w:rsid w:val="00B517DE"/>
    <w:rsid w:val="00B51CE1"/>
    <w:rsid w:val="00B61D0F"/>
    <w:rsid w:val="00B64046"/>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162"/>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2819"/>
    <w:rsid w:val="00CD42C4"/>
    <w:rsid w:val="00CE43F8"/>
    <w:rsid w:val="00CE7C8B"/>
    <w:rsid w:val="00CF01CC"/>
    <w:rsid w:val="00CF6D5C"/>
    <w:rsid w:val="00D10B1F"/>
    <w:rsid w:val="00D11E1F"/>
    <w:rsid w:val="00D20C81"/>
    <w:rsid w:val="00D30B42"/>
    <w:rsid w:val="00D3262F"/>
    <w:rsid w:val="00D361FE"/>
    <w:rsid w:val="00D36E74"/>
    <w:rsid w:val="00D42F13"/>
    <w:rsid w:val="00D43B3D"/>
    <w:rsid w:val="00D5035D"/>
    <w:rsid w:val="00D519B3"/>
    <w:rsid w:val="00D5213E"/>
    <w:rsid w:val="00D52A3F"/>
    <w:rsid w:val="00D535B2"/>
    <w:rsid w:val="00D567C0"/>
    <w:rsid w:val="00D56E0D"/>
    <w:rsid w:val="00D62A71"/>
    <w:rsid w:val="00D70A3B"/>
    <w:rsid w:val="00D72110"/>
    <w:rsid w:val="00D857DE"/>
    <w:rsid w:val="00D919AF"/>
    <w:rsid w:val="00D937BD"/>
    <w:rsid w:val="00DA2D7C"/>
    <w:rsid w:val="00DB6F0A"/>
    <w:rsid w:val="00DC7151"/>
    <w:rsid w:val="00DD621A"/>
    <w:rsid w:val="00DD7BAA"/>
    <w:rsid w:val="00DE0FFA"/>
    <w:rsid w:val="00DE6A70"/>
    <w:rsid w:val="00DF3DF3"/>
    <w:rsid w:val="00DF5AA8"/>
    <w:rsid w:val="00E11D7D"/>
    <w:rsid w:val="00E1254C"/>
    <w:rsid w:val="00E16895"/>
    <w:rsid w:val="00E267B1"/>
    <w:rsid w:val="00E32614"/>
    <w:rsid w:val="00E33250"/>
    <w:rsid w:val="00E3526B"/>
    <w:rsid w:val="00E5059C"/>
    <w:rsid w:val="00E54C06"/>
    <w:rsid w:val="00E5664A"/>
    <w:rsid w:val="00E66055"/>
    <w:rsid w:val="00E677C1"/>
    <w:rsid w:val="00E7407A"/>
    <w:rsid w:val="00E81A0A"/>
    <w:rsid w:val="00E964F7"/>
    <w:rsid w:val="00EA6F84"/>
    <w:rsid w:val="00EB7931"/>
    <w:rsid w:val="00ED548C"/>
    <w:rsid w:val="00ED7F3F"/>
    <w:rsid w:val="00EE7DAD"/>
    <w:rsid w:val="00EF043C"/>
    <w:rsid w:val="00EF49B3"/>
    <w:rsid w:val="00EF56E1"/>
    <w:rsid w:val="00EF73FD"/>
    <w:rsid w:val="00F00561"/>
    <w:rsid w:val="00F01150"/>
    <w:rsid w:val="00F01E3D"/>
    <w:rsid w:val="00F02E61"/>
    <w:rsid w:val="00F04DC2"/>
    <w:rsid w:val="00F056BE"/>
    <w:rsid w:val="00F066D9"/>
    <w:rsid w:val="00F15E63"/>
    <w:rsid w:val="00F25F52"/>
    <w:rsid w:val="00F4252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593D-488C-40B3-B56E-3C72AE98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4321</Characters>
  <Application>Microsoft Office Word</Application>
  <DocSecurity>4</DocSecurity>
  <Lines>36</Lines>
  <Paragraphs>10</Paragraphs>
  <ScaleCrop>false</ScaleCrop>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2021-10-26T16:01:00Z</dcterms:created>
  <dcterms:modified xsi:type="dcterms:W3CDTF">2021-10-26T16:01:00Z</dcterms:modified>
</cp:coreProperties>
</file>