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E4" w:rsidRDefault="004411E4">
      <w:pPr>
        <w:widowControl w:val="0"/>
        <w:jc w:val="center"/>
        <w:rPr>
          <w:rFonts w:eastAsia="Times New Roman"/>
          <w:sz w:val="48"/>
          <w:szCs w:val="48"/>
          <w:lang w:val="en-US" w:eastAsia="zh-CN" w:bidi="ar-SA"/>
        </w:rPr>
      </w:pPr>
      <w:bookmarkStart w:id="0" w:name="t_2_0_table"/>
      <w:bookmarkEnd w:id="0"/>
      <w:r>
        <w:rPr>
          <w:rFonts w:ascii="宋体" w:hAnsi="宋体" w:cs="宋体"/>
          <w:b/>
          <w:bCs/>
          <w:sz w:val="48"/>
          <w:szCs w:val="48"/>
          <w:lang w:val="en-US" w:eastAsia="zh-CN" w:bidi="ar-SA"/>
        </w:rPr>
        <w:t>鹏华尊信3个月定期开放债券型发起式证券投资基金开放申购、赎回和转换业务的公告</w:t>
      </w:r>
    </w:p>
    <w:p w:rsidR="004411E4" w:rsidRDefault="004411E4">
      <w:pPr>
        <w:widowControl w:val="0"/>
        <w:jc w:val="center"/>
        <w:rPr>
          <w:rFonts w:eastAsia="Times New Roman"/>
          <w:sz w:val="30"/>
          <w:szCs w:val="30"/>
          <w:lang w:val="en-US" w:eastAsia="zh-CN" w:bidi="ar-SA"/>
        </w:rPr>
      </w:pPr>
    </w:p>
    <w:p w:rsidR="004411E4" w:rsidRDefault="004411E4">
      <w:pPr>
        <w:widowControl w:val="0"/>
        <w:jc w:val="center"/>
        <w:rPr>
          <w:rFonts w:eastAsia="Times New Roman"/>
          <w:sz w:val="30"/>
          <w:szCs w:val="30"/>
          <w:lang w:val="en-US" w:eastAsia="zh-CN" w:bidi="ar-SA"/>
        </w:rPr>
      </w:pPr>
      <w:bookmarkStart w:id="1" w:name="t_2_0_0002_a2_fm1"/>
      <w:bookmarkEnd w:id="1"/>
    </w:p>
    <w:p w:rsidR="004411E4" w:rsidRDefault="004411E4">
      <w:pPr>
        <w:widowControl w:val="0"/>
        <w:jc w:val="center"/>
        <w:rPr>
          <w:rFonts w:eastAsia="Times New Roman"/>
          <w:sz w:val="30"/>
          <w:szCs w:val="30"/>
          <w:lang w:val="en-US" w:eastAsia="zh-CN" w:bidi="ar-SA"/>
        </w:rPr>
      </w:pPr>
    </w:p>
    <w:p w:rsidR="004411E4" w:rsidRDefault="004411E4">
      <w:pPr>
        <w:widowControl w:val="0"/>
        <w:jc w:val="center"/>
        <w:rPr>
          <w:rFonts w:eastAsia="Times New Roman"/>
          <w:sz w:val="30"/>
          <w:szCs w:val="30"/>
          <w:lang w:val="en-US" w:eastAsia="zh-CN" w:bidi="ar-SA"/>
        </w:rPr>
      </w:pPr>
    </w:p>
    <w:p w:rsidR="004411E4" w:rsidRDefault="004411E4">
      <w:pPr>
        <w:widowControl w:val="0"/>
        <w:jc w:val="center"/>
        <w:rPr>
          <w:rFonts w:eastAsia="Times New Roman"/>
          <w:sz w:val="30"/>
          <w:szCs w:val="30"/>
          <w:lang w:val="en-US" w:eastAsia="zh-CN" w:bidi="ar-SA"/>
        </w:rPr>
      </w:pPr>
    </w:p>
    <w:p w:rsidR="004411E4" w:rsidRDefault="004411E4">
      <w:pPr>
        <w:widowControl w:val="0"/>
        <w:jc w:val="center"/>
        <w:rPr>
          <w:rFonts w:eastAsia="Times New Roman"/>
          <w:sz w:val="30"/>
          <w:szCs w:val="30"/>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ind w:left="2100" w:firstLine="420"/>
        <w:jc w:val="both"/>
        <w:rPr>
          <w:rFonts w:eastAsia="Times New Roman"/>
          <w:sz w:val="28"/>
          <w:szCs w:val="28"/>
          <w:lang w:val="en-US" w:eastAsia="zh-CN" w:bidi="ar-SA"/>
        </w:rPr>
      </w:pPr>
      <w:r>
        <w:rPr>
          <w:rFonts w:ascii="宋体" w:hAnsi="宋体" w:cs="宋体"/>
          <w:b/>
          <w:bCs/>
          <w:sz w:val="28"/>
          <w:szCs w:val="28"/>
          <w:lang w:val="en-US" w:eastAsia="zh-CN" w:bidi="ar-SA"/>
        </w:rPr>
        <w:t>公告送出日期：2021年10月27日</w:t>
      </w: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widowControl w:val="0"/>
        <w:jc w:val="both"/>
        <w:rPr>
          <w:rFonts w:eastAsia="Times New Roman"/>
          <w:lang w:val="en-US" w:eastAsia="zh-CN" w:bidi="ar-SA"/>
        </w:rPr>
      </w:pPr>
    </w:p>
    <w:p w:rsidR="004411E4" w:rsidRDefault="004411E4">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lastRenderedPageBreak/>
        <w:t>1</w:t>
      </w:r>
      <w:bookmarkStart w:id="2" w:name="t_2_1_table"/>
      <w:bookmarkEnd w:id="2"/>
      <w:r>
        <w:rPr>
          <w:rFonts w:ascii="宋体" w:hAnsi="宋体" w:cs="宋体"/>
          <w:i w:val="0"/>
          <w:iCs w:val="0"/>
          <w:sz w:val="24"/>
          <w:szCs w:val="24"/>
          <w:lang w:val="en-US" w:eastAsia="zh-CN" w:bidi="ar-SA"/>
        </w:rPr>
        <w:t>公告基本信息</w:t>
      </w:r>
    </w:p>
    <w:tbl>
      <w:tblPr>
        <w:tblW w:w="8647"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2977"/>
        <w:gridCol w:w="5670"/>
      </w:tblGrid>
      <w:tr w:rsidR="004411E4" w:rsidRPr="004411E4">
        <w:tc>
          <w:tcPr>
            <w:tcW w:w="2977" w:type="dxa"/>
            <w:tcBorders>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基金名称</w:t>
            </w:r>
          </w:p>
        </w:tc>
        <w:tc>
          <w:tcPr>
            <w:tcW w:w="5670" w:type="dxa"/>
            <w:tcBorders>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3" w:name="t_2_1_0009_a1_fm1"/>
            <w:bookmarkEnd w:id="3"/>
            <w:r>
              <w:rPr>
                <w:rFonts w:ascii="宋体" w:hAnsi="宋体" w:cs="宋体"/>
                <w:sz w:val="21"/>
                <w:szCs w:val="21"/>
                <w:lang w:val="en-US" w:eastAsia="zh-CN" w:bidi="ar-SA"/>
              </w:rPr>
              <w:t>鹏华尊信3个月定期开放债券型发起式证券投资基金</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基金简称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4" w:name="t_2_1_0011_a1_fm1"/>
            <w:bookmarkEnd w:id="4"/>
            <w:r>
              <w:rPr>
                <w:rFonts w:ascii="宋体" w:hAnsi="宋体" w:cs="宋体"/>
                <w:sz w:val="21"/>
                <w:szCs w:val="21"/>
                <w:lang w:val="en-US" w:eastAsia="zh-CN" w:bidi="ar-SA"/>
              </w:rPr>
              <w:t>鹏华尊信3个月定开发起式债券</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基金主代码</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5" w:name="t_2_1_0012_a1_fm1"/>
            <w:bookmarkEnd w:id="5"/>
            <w:r>
              <w:rPr>
                <w:rFonts w:ascii="宋体" w:hAnsi="宋体" w:cs="宋体"/>
                <w:sz w:val="21"/>
                <w:szCs w:val="21"/>
                <w:lang w:val="en-US" w:eastAsia="zh-CN" w:bidi="ar-SA"/>
              </w:rPr>
              <w:t>007870</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基金运作方式</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6" w:name="t_2_1_0017_a1_fm1"/>
            <w:bookmarkEnd w:id="6"/>
            <w:r>
              <w:rPr>
                <w:rFonts w:ascii="宋体" w:hAnsi="宋体" w:cs="宋体"/>
                <w:sz w:val="21"/>
                <w:szCs w:val="21"/>
                <w:lang w:val="en-US" w:eastAsia="zh-CN" w:bidi="ar-SA"/>
              </w:rPr>
              <w:t>契约型开放式，本基金以定期开放方式运作，即采用封闭运作和开放运作交替循环的方式。本基金自基金合同生效之日（含）起或自每一开放期结束之日次日（含）起至3个月后的对应日的前一日止的期间封闭运作，不办理申购与赎回业务，也不上市交易。如该对应日不存在对应日期或为非工作日，则顺延至下一工作日。</w:t>
            </w:r>
          </w:p>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本基金自封闭期结束之后第一个工作日（含）起进入开放期，每个开放期不少于一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基金合同生效日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7" w:name="t_2_1_0018_a1_fm1"/>
            <w:bookmarkEnd w:id="7"/>
            <w:r>
              <w:rPr>
                <w:rFonts w:ascii="宋体" w:hAnsi="宋体" w:cs="宋体"/>
                <w:sz w:val="21"/>
                <w:szCs w:val="21"/>
                <w:lang w:val="en-US" w:eastAsia="zh-CN" w:bidi="ar-SA"/>
              </w:rPr>
              <w:t>2019年08月29日</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基金管理人名称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8" w:name="t_2_1_0186_a1_fm1"/>
            <w:bookmarkEnd w:id="8"/>
            <w:r>
              <w:rPr>
                <w:rFonts w:ascii="宋体" w:hAnsi="宋体" w:cs="宋体"/>
                <w:sz w:val="21"/>
                <w:szCs w:val="21"/>
                <w:lang w:val="en-US" w:eastAsia="zh-CN" w:bidi="ar-SA"/>
              </w:rPr>
              <w:t>鹏华基金管理有限公司</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基金托管人名称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9" w:name="t_2_1_0213_a1_fm1"/>
            <w:bookmarkEnd w:id="9"/>
            <w:r>
              <w:rPr>
                <w:rFonts w:ascii="宋体" w:hAnsi="宋体" w:cs="宋体"/>
                <w:sz w:val="21"/>
                <w:szCs w:val="21"/>
                <w:lang w:val="en-US" w:eastAsia="zh-CN" w:bidi="ar-SA"/>
              </w:rPr>
              <w:t>中国光大银行股份有限公司</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基金份额登记机构名称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10" w:name="t_2_1_0310_a1_fm1"/>
            <w:bookmarkEnd w:id="10"/>
            <w:r>
              <w:rPr>
                <w:rFonts w:ascii="宋体" w:hAnsi="宋体" w:cs="宋体"/>
                <w:sz w:val="21"/>
                <w:szCs w:val="21"/>
                <w:lang w:val="en-US" w:eastAsia="zh-CN" w:bidi="ar-SA"/>
              </w:rPr>
              <w:t>鹏华基金管理有限公司</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公告依据</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11" w:name="t_2_1_2631_a1_fm1"/>
            <w:bookmarkEnd w:id="11"/>
            <w:r>
              <w:rPr>
                <w:rFonts w:ascii="宋体" w:hAnsi="宋体" w:cs="宋体"/>
                <w:sz w:val="21"/>
                <w:szCs w:val="21"/>
                <w:lang w:val="en-US" w:eastAsia="zh-CN" w:bidi="ar-SA"/>
              </w:rPr>
              <w:t>《鹏华尊信3个月定期开放债券型发起式证券投资基金基金合同》（以下简称“基金合同”）、《鹏华尊信3个月定期开放债券型发起式证券投资基金招募说明书》及其更新（以下简称“招募说明书”）</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申购起始日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2021年10月28日</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赎回起始日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bookmarkStart w:id="12" w:name="t_2_1_2661_a1_fm1"/>
            <w:bookmarkEnd w:id="12"/>
            <w:r>
              <w:rPr>
                <w:rFonts w:ascii="宋体" w:hAnsi="宋体" w:cs="宋体"/>
                <w:sz w:val="21"/>
                <w:szCs w:val="21"/>
                <w:lang w:val="en-US" w:eastAsia="zh-CN" w:bidi="ar-SA"/>
              </w:rPr>
              <w:t>2021年10月28日</w:t>
            </w:r>
          </w:p>
        </w:tc>
      </w:tr>
      <w:tr w:rsidR="004411E4" w:rsidRPr="004411E4">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转换转出起始日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2021年10月28日</w:t>
            </w:r>
          </w:p>
        </w:tc>
      </w:tr>
      <w:tr w:rsidR="004411E4" w:rsidRPr="004411E4">
        <w:tc>
          <w:tcPr>
            <w:tcW w:w="2977" w:type="dxa"/>
            <w:tcBorders>
              <w:top w:val="single" w:sz="6" w:space="0" w:color="auto"/>
              <w:righ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转换转入起始日</w:t>
            </w:r>
          </w:p>
        </w:tc>
        <w:tc>
          <w:tcPr>
            <w:tcW w:w="5670" w:type="dxa"/>
            <w:tcBorders>
              <w:top w:val="single" w:sz="6" w:space="0" w:color="auto"/>
              <w:left w:val="single" w:sz="6" w:space="0" w:color="auto"/>
            </w:tcBorders>
            <w:tcMar>
              <w:top w:w="8" w:type="dxa"/>
              <w:left w:w="108" w:type="dxa"/>
              <w:bottom w:w="8" w:type="dxa"/>
              <w:right w:w="108" w:type="dxa"/>
            </w:tcMar>
            <w:hideMark/>
          </w:tcPr>
          <w:p w:rsidR="004411E4" w:rsidRDefault="004411E4">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2021年10月28日</w:t>
            </w:r>
          </w:p>
        </w:tc>
      </w:tr>
    </w:tbl>
    <w:p w:rsidR="004411E4" w:rsidRDefault="004411E4">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2 </w:t>
      </w:r>
      <w:bookmarkStart w:id="13" w:name="t_2_2_table"/>
      <w:bookmarkEnd w:id="13"/>
      <w:r>
        <w:rPr>
          <w:rFonts w:ascii="宋体" w:hAnsi="宋体" w:cs="宋体"/>
          <w:i w:val="0"/>
          <w:iCs w:val="0"/>
          <w:sz w:val="24"/>
          <w:szCs w:val="24"/>
          <w:lang w:val="en-US" w:eastAsia="zh-CN" w:bidi="ar-SA"/>
        </w:rPr>
        <w:t>申购、赎回和转换业务的办理时间</w:t>
      </w:r>
    </w:p>
    <w:p w:rsidR="004411E4" w:rsidRDefault="004411E4">
      <w:pPr>
        <w:widowControl w:val="0"/>
        <w:spacing w:line="360" w:lineRule="auto"/>
        <w:ind w:firstLine="420"/>
        <w:rPr>
          <w:rFonts w:eastAsia="Times New Roman"/>
          <w:sz w:val="21"/>
          <w:szCs w:val="21"/>
          <w:lang w:val="en-US" w:eastAsia="zh-CN" w:bidi="ar-SA"/>
        </w:rPr>
      </w:pPr>
      <w:bookmarkStart w:id="14" w:name="t_2_2_2819_a1_fm1"/>
      <w:bookmarkEnd w:id="14"/>
      <w:r>
        <w:rPr>
          <w:rFonts w:ascii="宋体" w:hAnsi="宋体" w:cs="宋体"/>
          <w:sz w:val="21"/>
          <w:szCs w:val="21"/>
          <w:lang w:val="en-US" w:eastAsia="zh-CN" w:bidi="ar-SA"/>
        </w:rPr>
        <w:t>鹏华尊信3个月定期开放债券型发起式证券投资基金（以下简称“本基金”）自2021年10月28日起（含当日）进入开放期，其中开放申购时间为2021年10月28日至2021年11月01日，在此期间接受投资者的申购和转换转入业务申请；开放赎回时间为2021年10月28日至2021年10月29日，在此期间接受投资者的赎回和转换转出业务申请。</w:t>
      </w:r>
    </w:p>
    <w:p w:rsidR="004411E4" w:rsidRDefault="004411E4">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3 申购业务</w:t>
      </w:r>
    </w:p>
    <w:p w:rsidR="004411E4" w:rsidRDefault="004411E4">
      <w:pPr>
        <w:widowControl w:val="0"/>
        <w:spacing w:before="156" w:after="156"/>
        <w:rPr>
          <w:rFonts w:eastAsia="Times New Roman"/>
          <w:lang w:val="en-US" w:eastAsia="zh-CN" w:bidi="ar-SA"/>
        </w:rPr>
      </w:pPr>
      <w:r>
        <w:rPr>
          <w:rFonts w:ascii="宋体" w:hAnsi="宋体" w:cs="宋体"/>
          <w:b/>
          <w:bCs/>
          <w:lang w:val="en-US" w:eastAsia="zh-CN" w:bidi="ar-SA"/>
        </w:rPr>
        <w:t xml:space="preserve">3.1 </w:t>
      </w:r>
      <w:bookmarkStart w:id="15" w:name="t_2_3_1_table"/>
      <w:bookmarkEnd w:id="15"/>
      <w:r>
        <w:rPr>
          <w:rFonts w:ascii="宋体" w:hAnsi="宋体" w:cs="宋体"/>
          <w:b/>
          <w:bCs/>
          <w:lang w:val="en-US" w:eastAsia="zh-CN" w:bidi="ar-SA"/>
        </w:rPr>
        <w:t>申购金额限制</w:t>
      </w:r>
    </w:p>
    <w:p w:rsidR="004411E4" w:rsidRDefault="004411E4">
      <w:pPr>
        <w:widowControl w:val="0"/>
        <w:spacing w:line="360" w:lineRule="auto"/>
        <w:ind w:firstLine="420"/>
        <w:rPr>
          <w:rFonts w:eastAsia="Times New Roman"/>
          <w:sz w:val="21"/>
          <w:szCs w:val="21"/>
          <w:lang w:val="en-US" w:eastAsia="zh-CN" w:bidi="ar-SA"/>
        </w:rPr>
      </w:pPr>
      <w:bookmarkStart w:id="16" w:name="t_2_3_1_2820_a1_fm1"/>
      <w:bookmarkEnd w:id="16"/>
      <w:r>
        <w:rPr>
          <w:rFonts w:ascii="宋体" w:hAnsi="宋体" w:cs="宋体"/>
          <w:sz w:val="21"/>
          <w:szCs w:val="21"/>
          <w:lang w:val="en-US" w:eastAsia="zh-CN" w:bidi="ar-SA"/>
        </w:rPr>
        <w:t>投资人通过销售机构申购本基金，单笔最低申购金额为1元。各销售机构对本基金最低申购金额及交易级差有其他规定的，以各销售机构的业务规定为准。通过基金管理人直销中心申购本基金，首次最低申购金额为100万元，追加申购单笔最低金额为1万元。</w:t>
      </w:r>
    </w:p>
    <w:p w:rsidR="004411E4" w:rsidRDefault="004411E4">
      <w:pPr>
        <w:widowControl w:val="0"/>
        <w:spacing w:before="156" w:after="156"/>
        <w:rPr>
          <w:rFonts w:eastAsia="Times New Roman"/>
          <w:lang w:val="en-US" w:eastAsia="zh-CN" w:bidi="ar-SA"/>
        </w:rPr>
      </w:pPr>
      <w:r>
        <w:rPr>
          <w:rFonts w:ascii="宋体" w:hAnsi="宋体" w:cs="宋体"/>
          <w:b/>
          <w:bCs/>
          <w:lang w:val="en-US" w:eastAsia="zh-CN" w:bidi="ar-SA"/>
        </w:rPr>
        <w:lastRenderedPageBreak/>
        <w:t xml:space="preserve">3.2 </w:t>
      </w:r>
      <w:bookmarkStart w:id="17" w:name="t_2_3_2_table"/>
      <w:bookmarkEnd w:id="17"/>
      <w:r>
        <w:rPr>
          <w:rFonts w:ascii="宋体" w:hAnsi="宋体" w:cs="宋体"/>
          <w:b/>
          <w:bCs/>
          <w:lang w:val="en-US" w:eastAsia="zh-CN" w:bidi="ar-SA"/>
        </w:rPr>
        <w:t>申购费率</w:t>
      </w:r>
    </w:p>
    <w:p w:rsidR="004411E4" w:rsidRDefault="004411E4">
      <w:pPr>
        <w:widowControl w:val="0"/>
        <w:spacing w:before="156" w:after="156"/>
        <w:ind w:firstLine="550"/>
        <w:jc w:val="both"/>
        <w:rPr>
          <w:rFonts w:eastAsia="Times New Roman"/>
          <w:sz w:val="22"/>
          <w:szCs w:val="22"/>
          <w:lang w:val="en-US" w:eastAsia="zh-CN" w:bidi="ar-SA"/>
        </w:rPr>
      </w:pPr>
      <w:bookmarkStart w:id="18" w:name="t_2_3_2_2842_a1_fm1"/>
      <w:bookmarkStart w:id="19" w:name="t_2_3_2_q_table"/>
      <w:bookmarkEnd w:id="18"/>
      <w:bookmarkEnd w:id="19"/>
      <w:r>
        <w:rPr>
          <w:rFonts w:ascii="宋体" w:hAnsi="宋体" w:cs="宋体"/>
          <w:sz w:val="22"/>
          <w:szCs w:val="22"/>
          <w:lang w:val="en-US" w:eastAsia="zh-CN" w:bidi="ar-SA"/>
        </w:rPr>
        <w:t>本基金的申购费率如下表所示：</w:t>
      </w:r>
    </w:p>
    <w:tbl>
      <w:tblPr>
        <w:tblW w:w="8003" w:type="dxa"/>
        <w:tblInd w:w="52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27"/>
        <w:gridCol w:w="2426"/>
        <w:gridCol w:w="2350"/>
      </w:tblGrid>
      <w:tr w:rsidR="004411E4" w:rsidRPr="004411E4">
        <w:trPr>
          <w:trHeight w:val="415"/>
        </w:trPr>
        <w:tc>
          <w:tcPr>
            <w:tcW w:w="3227" w:type="dxa"/>
            <w:tcBorders>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申购金额</w:t>
            </w:r>
            <w:r>
              <w:rPr>
                <w:rFonts w:ascii="Calibri" w:eastAsia="Calibri" w:hAnsi="Calibri" w:cs="Calibri"/>
                <w:b/>
                <w:bCs/>
                <w:sz w:val="21"/>
                <w:szCs w:val="21"/>
                <w:lang w:val="en-US" w:eastAsia="zh-CN" w:bidi="ar-SA"/>
              </w:rPr>
              <w:t>M</w:t>
            </w:r>
            <w:r>
              <w:rPr>
                <w:rFonts w:ascii="宋体" w:hAnsi="宋体" w:cs="宋体"/>
                <w:b/>
                <w:bCs/>
                <w:sz w:val="21"/>
                <w:szCs w:val="21"/>
                <w:lang w:val="en-US" w:eastAsia="zh-CN" w:bidi="ar-SA"/>
              </w:rPr>
              <w:t>（元）</w:t>
            </w:r>
          </w:p>
        </w:tc>
        <w:tc>
          <w:tcPr>
            <w:tcW w:w="2426" w:type="dxa"/>
            <w:tcBorders>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一般申购费率</w:t>
            </w:r>
          </w:p>
        </w:tc>
        <w:tc>
          <w:tcPr>
            <w:tcW w:w="2350" w:type="dxa"/>
            <w:tcBorders>
              <w:left w:val="single" w:sz="6" w:space="0" w:color="auto"/>
              <w:bottom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特定申购费率</w:t>
            </w:r>
          </w:p>
        </w:tc>
      </w:tr>
      <w:tr w:rsidR="004411E4" w:rsidRPr="004411E4">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M&lt;100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0.80%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0.32%</w:t>
            </w:r>
          </w:p>
        </w:tc>
      </w:tr>
      <w:tr w:rsidR="004411E4" w:rsidRPr="004411E4">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100</w:t>
            </w:r>
            <w:r>
              <w:rPr>
                <w:rFonts w:ascii="宋体" w:hAnsi="宋体" w:cs="宋体"/>
                <w:sz w:val="21"/>
                <w:szCs w:val="21"/>
                <w:lang w:val="en-US" w:eastAsia="zh-CN" w:bidi="ar-SA"/>
              </w:rPr>
              <w:t>万</w:t>
            </w:r>
            <w:r>
              <w:rPr>
                <w:rFonts w:ascii="Calibri" w:eastAsia="Calibri" w:hAnsi="Calibri" w:cs="Calibri"/>
                <w:sz w:val="21"/>
                <w:szCs w:val="21"/>
                <w:lang w:val="en-US" w:eastAsia="zh-CN" w:bidi="ar-SA"/>
              </w:rPr>
              <w:t>≤ M&lt;300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0.40%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0.12%</w:t>
            </w:r>
          </w:p>
        </w:tc>
      </w:tr>
      <w:tr w:rsidR="004411E4" w:rsidRPr="004411E4">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300</w:t>
            </w:r>
            <w:r>
              <w:rPr>
                <w:rFonts w:ascii="宋体" w:hAnsi="宋体" w:cs="宋体"/>
                <w:sz w:val="21"/>
                <w:szCs w:val="21"/>
                <w:lang w:val="en-US" w:eastAsia="zh-CN" w:bidi="ar-SA"/>
              </w:rPr>
              <w:t>万</w:t>
            </w:r>
            <w:r>
              <w:rPr>
                <w:rFonts w:ascii="Calibri" w:eastAsia="Calibri" w:hAnsi="Calibri" w:cs="Calibri"/>
                <w:sz w:val="21"/>
                <w:szCs w:val="21"/>
                <w:lang w:val="en-US" w:eastAsia="zh-CN" w:bidi="ar-SA"/>
              </w:rPr>
              <w:t>≤ M&lt;500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0.10%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0.03%</w:t>
            </w:r>
          </w:p>
        </w:tc>
      </w:tr>
      <w:tr w:rsidR="004411E4" w:rsidRPr="004411E4">
        <w:trPr>
          <w:trHeight w:val="415"/>
        </w:trPr>
        <w:tc>
          <w:tcPr>
            <w:tcW w:w="3227" w:type="dxa"/>
            <w:tcBorders>
              <w:top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M≥500</w:t>
            </w:r>
            <w:r>
              <w:rPr>
                <w:rFonts w:ascii="宋体" w:hAnsi="宋体" w:cs="宋体"/>
                <w:sz w:val="21"/>
                <w:szCs w:val="21"/>
                <w:lang w:val="en-US" w:eastAsia="zh-CN" w:bidi="ar-SA"/>
              </w:rPr>
              <w:t>万</w:t>
            </w:r>
          </w:p>
        </w:tc>
        <w:tc>
          <w:tcPr>
            <w:tcW w:w="2426"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宋体" w:hAnsi="宋体" w:cs="宋体"/>
                <w:sz w:val="21"/>
                <w:szCs w:val="21"/>
                <w:lang w:val="en-US" w:eastAsia="zh-CN" w:bidi="ar-SA"/>
              </w:rPr>
              <w:t>每笔</w:t>
            </w:r>
            <w:r>
              <w:rPr>
                <w:rFonts w:ascii="Calibri" w:eastAsia="Calibri" w:hAnsi="Calibri" w:cs="Calibri"/>
                <w:sz w:val="21"/>
                <w:szCs w:val="21"/>
                <w:lang w:val="en-US" w:eastAsia="zh-CN" w:bidi="ar-SA"/>
              </w:rPr>
              <w:t>500</w:t>
            </w:r>
            <w:r>
              <w:rPr>
                <w:rFonts w:ascii="宋体" w:hAnsi="宋体" w:cs="宋体"/>
                <w:sz w:val="21"/>
                <w:szCs w:val="21"/>
                <w:lang w:val="en-US" w:eastAsia="zh-CN" w:bidi="ar-SA"/>
              </w:rPr>
              <w:t>元</w:t>
            </w:r>
          </w:p>
        </w:tc>
        <w:tc>
          <w:tcPr>
            <w:tcW w:w="2350" w:type="dxa"/>
            <w:tcBorders>
              <w:top w:val="single" w:sz="6" w:space="0" w:color="auto"/>
              <w:lef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宋体" w:hAnsi="宋体" w:cs="宋体"/>
                <w:sz w:val="21"/>
                <w:szCs w:val="21"/>
                <w:lang w:val="en-US" w:eastAsia="zh-CN" w:bidi="ar-SA"/>
              </w:rPr>
              <w:t>每笔</w:t>
            </w:r>
            <w:r>
              <w:rPr>
                <w:rFonts w:ascii="Calibri" w:eastAsia="Calibri" w:hAnsi="Calibri" w:cs="Calibri"/>
                <w:sz w:val="21"/>
                <w:szCs w:val="21"/>
                <w:lang w:val="en-US" w:eastAsia="zh-CN" w:bidi="ar-SA"/>
              </w:rPr>
              <w:t>500</w:t>
            </w:r>
            <w:r>
              <w:rPr>
                <w:rFonts w:ascii="宋体" w:hAnsi="宋体" w:cs="宋体"/>
                <w:sz w:val="21"/>
                <w:szCs w:val="21"/>
                <w:lang w:val="en-US" w:eastAsia="zh-CN" w:bidi="ar-SA"/>
              </w:rPr>
              <w:t>元</w:t>
            </w:r>
          </w:p>
        </w:tc>
      </w:tr>
    </w:tbl>
    <w:p w:rsidR="004411E4" w:rsidRDefault="004411E4">
      <w:pPr>
        <w:widowControl w:val="0"/>
        <w:spacing w:line="360" w:lineRule="auto"/>
        <w:ind w:firstLine="420"/>
        <w:rPr>
          <w:rFonts w:eastAsia="Times New Roman"/>
          <w:sz w:val="21"/>
          <w:szCs w:val="21"/>
          <w:lang w:val="en-US" w:eastAsia="zh-CN" w:bidi="ar-SA"/>
        </w:rPr>
      </w:pPr>
      <w:bookmarkStart w:id="20" w:name="t_2_3_2_q_2685_a1_fm1"/>
      <w:r>
        <w:rPr>
          <w:rFonts w:ascii="宋体" w:hAnsi="宋体" w:cs="宋体"/>
          <w:sz w:val="21"/>
          <w:szCs w:val="21"/>
          <w:lang w:val="en-US" w:eastAsia="zh-CN" w:bidi="ar-SA"/>
        </w:rPr>
        <w:t>注：</w:t>
      </w:r>
      <w:bookmarkEnd w:id="20"/>
      <w:r>
        <w:rPr>
          <w:rFonts w:ascii="宋体" w:hAnsi="宋体" w:cs="宋体"/>
          <w:sz w:val="21"/>
          <w:szCs w:val="21"/>
          <w:lang w:val="en-US" w:eastAsia="zh-CN" w:bidi="ar-SA"/>
        </w:rPr>
        <w:t>1、本基金的申购费用应在投资人申购基金份额时收取。投资人在一天之内如果有多笔申购，适用费率按单笔分别计算。</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2、申购费用由投资人承担，不列入基金财产，主要用于本基金的市场推广、销售、登记等各项费用。</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本基金对通过直销中心申购的养老金客户与除此之外的其他投资人实施差别的申购费率。通过基金管理人的直销中心申购本基金基金份额的养老金客户适用特定申购费率，其他投资人申购本基金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4411E4" w:rsidRDefault="004411E4">
      <w:pPr>
        <w:pStyle w:val="2"/>
        <w:keepLines/>
        <w:widowControl w:val="0"/>
        <w:spacing w:before="156" w:after="156"/>
        <w:jc w:val="both"/>
        <w:rPr>
          <w:rFonts w:ascii="Times New Roman" w:eastAsia="Times New Roman" w:hAnsi="Times New Roman" w:cs="Times New Roman"/>
          <w:lang w:val="en-US" w:eastAsia="zh-CN" w:bidi="ar-SA"/>
        </w:rPr>
      </w:pPr>
      <w:bookmarkStart w:id="21" w:name="t_2_3_3_2821_a1_fm1"/>
      <w:bookmarkEnd w:id="21"/>
      <w:r>
        <w:rPr>
          <w:rFonts w:ascii="宋体" w:hAnsi="宋体" w:cs="宋体"/>
          <w:i w:val="0"/>
          <w:iCs w:val="0"/>
          <w:sz w:val="24"/>
          <w:szCs w:val="24"/>
          <w:lang w:val="en-US" w:eastAsia="zh-CN" w:bidi="ar-SA"/>
        </w:rPr>
        <w:t>4 赎回业务</w:t>
      </w:r>
    </w:p>
    <w:p w:rsidR="004411E4" w:rsidRDefault="004411E4">
      <w:pPr>
        <w:widowControl w:val="0"/>
        <w:spacing w:before="156" w:after="156"/>
        <w:rPr>
          <w:rFonts w:eastAsia="Times New Roman"/>
          <w:lang w:val="en-US" w:eastAsia="zh-CN" w:bidi="ar-SA"/>
        </w:rPr>
      </w:pPr>
      <w:r>
        <w:rPr>
          <w:rFonts w:ascii="宋体" w:hAnsi="宋体" w:cs="宋体"/>
          <w:b/>
          <w:bCs/>
          <w:lang w:val="en-US" w:eastAsia="zh-CN" w:bidi="ar-SA"/>
        </w:rPr>
        <w:t>4.1</w:t>
      </w:r>
      <w:bookmarkStart w:id="22" w:name="t_2_4_1_table"/>
      <w:bookmarkEnd w:id="22"/>
      <w:r>
        <w:rPr>
          <w:rFonts w:ascii="宋体" w:hAnsi="宋体" w:cs="宋体"/>
          <w:b/>
          <w:bCs/>
          <w:lang w:val="en-US" w:eastAsia="zh-CN" w:bidi="ar-SA"/>
        </w:rPr>
        <w:t xml:space="preserve"> 赎回份额限制</w:t>
      </w:r>
    </w:p>
    <w:p w:rsidR="004411E4" w:rsidRDefault="004411E4">
      <w:pPr>
        <w:widowControl w:val="0"/>
        <w:spacing w:line="360" w:lineRule="auto"/>
        <w:ind w:firstLine="420"/>
        <w:rPr>
          <w:rFonts w:eastAsia="Times New Roman"/>
          <w:sz w:val="21"/>
          <w:szCs w:val="21"/>
          <w:lang w:val="en-US" w:eastAsia="zh-CN" w:bidi="ar-SA"/>
        </w:rPr>
      </w:pPr>
      <w:bookmarkStart w:id="23" w:name="t_2_4_1_2822_a1_fm1"/>
      <w:bookmarkEnd w:id="23"/>
      <w:r>
        <w:rPr>
          <w:rFonts w:ascii="宋体" w:hAnsi="宋体" w:cs="宋体"/>
          <w:sz w:val="21"/>
          <w:szCs w:val="21"/>
          <w:lang w:val="en-US" w:eastAsia="zh-CN" w:bidi="ar-SA"/>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4411E4" w:rsidRDefault="004411E4">
      <w:pPr>
        <w:widowControl w:val="0"/>
        <w:spacing w:before="156" w:after="156"/>
        <w:jc w:val="both"/>
        <w:rPr>
          <w:rFonts w:eastAsia="Times New Roman"/>
          <w:lang w:val="en-US" w:eastAsia="zh-CN" w:bidi="ar-SA"/>
        </w:rPr>
      </w:pPr>
      <w:r>
        <w:rPr>
          <w:rFonts w:ascii="宋体" w:hAnsi="宋体" w:cs="宋体"/>
          <w:b/>
          <w:bCs/>
          <w:lang w:val="en-US" w:eastAsia="zh-CN" w:bidi="ar-SA"/>
        </w:rPr>
        <w:t>4.2赎回费率</w:t>
      </w:r>
      <w:bookmarkStart w:id="24" w:name="t_2_4_2_2843_a1_fm1"/>
      <w:bookmarkStart w:id="25" w:name="t_2_4_2_2699_a1_fm1"/>
      <w:bookmarkEnd w:id="24"/>
      <w:bookmarkEnd w:id="25"/>
    </w:p>
    <w:p w:rsidR="004411E4" w:rsidRDefault="004411E4">
      <w:pPr>
        <w:widowControl w:val="0"/>
        <w:spacing w:before="156" w:after="156"/>
        <w:ind w:firstLine="550"/>
        <w:jc w:val="both"/>
        <w:rPr>
          <w:rFonts w:eastAsia="Times New Roman"/>
          <w:sz w:val="22"/>
          <w:szCs w:val="22"/>
          <w:lang w:val="en-US" w:eastAsia="zh-CN" w:bidi="ar-SA"/>
        </w:rPr>
      </w:pPr>
      <w:r>
        <w:rPr>
          <w:rFonts w:ascii="宋体" w:hAnsi="宋体" w:cs="宋体"/>
          <w:sz w:val="22"/>
          <w:szCs w:val="22"/>
          <w:lang w:val="en-US" w:eastAsia="zh-CN" w:bidi="ar-SA"/>
        </w:rPr>
        <w:t>本基金的赎回费率如下表所示：</w:t>
      </w:r>
    </w:p>
    <w:tbl>
      <w:tblPr>
        <w:tblW w:w="0" w:type="auto"/>
        <w:tblInd w:w="63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870"/>
        <w:gridCol w:w="2764"/>
      </w:tblGrid>
      <w:tr w:rsidR="004411E4" w:rsidRPr="004411E4">
        <w:trPr>
          <w:trHeight w:hRule="exact" w:val="461"/>
        </w:trPr>
        <w:tc>
          <w:tcPr>
            <w:tcW w:w="3870" w:type="dxa"/>
            <w:tcBorders>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持有期限（</w:t>
            </w:r>
            <w:r>
              <w:rPr>
                <w:rFonts w:ascii="Calibri" w:eastAsia="Calibri" w:hAnsi="Calibri" w:cs="Calibri"/>
                <w:b/>
                <w:bCs/>
                <w:sz w:val="21"/>
                <w:szCs w:val="21"/>
                <w:lang w:val="en-US" w:eastAsia="zh-CN" w:bidi="ar-SA"/>
              </w:rPr>
              <w:t>Y</w:t>
            </w:r>
            <w:r>
              <w:rPr>
                <w:rFonts w:ascii="宋体" w:hAnsi="宋体" w:cs="宋体"/>
                <w:b/>
                <w:bCs/>
                <w:sz w:val="21"/>
                <w:szCs w:val="21"/>
                <w:lang w:val="en-US" w:eastAsia="zh-CN" w:bidi="ar-SA"/>
              </w:rPr>
              <w:t>）</w:t>
            </w:r>
          </w:p>
        </w:tc>
        <w:tc>
          <w:tcPr>
            <w:tcW w:w="2764" w:type="dxa"/>
            <w:tcBorders>
              <w:left w:val="single" w:sz="6" w:space="0" w:color="auto"/>
              <w:bottom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赎回费率</w:t>
            </w:r>
          </w:p>
        </w:tc>
      </w:tr>
      <w:tr w:rsidR="004411E4" w:rsidRPr="004411E4">
        <w:trPr>
          <w:trHeight w:hRule="exact" w:val="461"/>
        </w:trPr>
        <w:tc>
          <w:tcPr>
            <w:tcW w:w="3870"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Y&lt;7</w:t>
            </w:r>
            <w:r>
              <w:rPr>
                <w:rFonts w:ascii="宋体" w:hAnsi="宋体" w:cs="宋体"/>
                <w:sz w:val="21"/>
                <w:szCs w:val="21"/>
                <w:lang w:val="en-US" w:eastAsia="zh-CN" w:bidi="ar-SA"/>
              </w:rPr>
              <w:t>天</w:t>
            </w:r>
          </w:p>
        </w:tc>
        <w:tc>
          <w:tcPr>
            <w:tcW w:w="2764"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4411E4" w:rsidRDefault="004411E4">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1.50%</w:t>
            </w:r>
          </w:p>
        </w:tc>
      </w:tr>
      <w:tr w:rsidR="004411E4" w:rsidRPr="004411E4">
        <w:trPr>
          <w:trHeight w:hRule="exact" w:val="461"/>
        </w:trPr>
        <w:tc>
          <w:tcPr>
            <w:tcW w:w="3870"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7</w:t>
            </w:r>
            <w:r>
              <w:rPr>
                <w:rFonts w:ascii="宋体" w:hAnsi="宋体" w:cs="宋体"/>
                <w:sz w:val="21"/>
                <w:szCs w:val="21"/>
                <w:lang w:val="en-US" w:eastAsia="zh-CN" w:bidi="ar-SA"/>
              </w:rPr>
              <w:t>天</w:t>
            </w:r>
            <w:r>
              <w:rPr>
                <w:rFonts w:ascii="Calibri" w:eastAsia="Calibri" w:hAnsi="Calibri" w:cs="Calibri"/>
                <w:sz w:val="21"/>
                <w:szCs w:val="21"/>
                <w:lang w:val="en-US" w:eastAsia="zh-CN" w:bidi="ar-SA"/>
              </w:rPr>
              <w:t>≤Y&lt;30</w:t>
            </w:r>
            <w:r>
              <w:rPr>
                <w:rFonts w:ascii="宋体" w:hAnsi="宋体" w:cs="宋体"/>
                <w:sz w:val="21"/>
                <w:szCs w:val="21"/>
                <w:lang w:val="en-US" w:eastAsia="zh-CN" w:bidi="ar-SA"/>
              </w:rPr>
              <w:t>天</w:t>
            </w:r>
          </w:p>
        </w:tc>
        <w:tc>
          <w:tcPr>
            <w:tcW w:w="2764"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4411E4" w:rsidRDefault="004411E4">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0.10%</w:t>
            </w:r>
          </w:p>
        </w:tc>
      </w:tr>
      <w:tr w:rsidR="004411E4" w:rsidRPr="004411E4">
        <w:trPr>
          <w:trHeight w:hRule="exact" w:val="461"/>
        </w:trPr>
        <w:tc>
          <w:tcPr>
            <w:tcW w:w="3870" w:type="dxa"/>
            <w:tcBorders>
              <w:top w:val="single" w:sz="6" w:space="0" w:color="auto"/>
              <w:right w:val="single" w:sz="6" w:space="0" w:color="auto"/>
            </w:tcBorders>
            <w:tcMar>
              <w:top w:w="8" w:type="dxa"/>
              <w:left w:w="108" w:type="dxa"/>
              <w:bottom w:w="8" w:type="dxa"/>
              <w:right w:w="108" w:type="dxa"/>
            </w:tcMar>
            <w:vAlign w:val="center"/>
            <w:hideMark/>
          </w:tcPr>
          <w:p w:rsidR="004411E4" w:rsidRDefault="004411E4">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Y</w:t>
            </w:r>
            <w:r>
              <w:rPr>
                <w:rFonts w:ascii="宋体" w:hAnsi="宋体" w:cs="宋体"/>
                <w:sz w:val="21"/>
                <w:szCs w:val="21"/>
                <w:lang w:val="en-US" w:eastAsia="zh-CN" w:bidi="ar-SA"/>
              </w:rPr>
              <w:t>≥</w:t>
            </w:r>
            <w:r>
              <w:rPr>
                <w:rFonts w:ascii="Calibri" w:eastAsia="Calibri" w:hAnsi="Calibri" w:cs="Calibri"/>
                <w:sz w:val="21"/>
                <w:szCs w:val="21"/>
                <w:lang w:val="en-US" w:eastAsia="zh-CN" w:bidi="ar-SA"/>
              </w:rPr>
              <w:t>30</w:t>
            </w:r>
            <w:r>
              <w:rPr>
                <w:rFonts w:ascii="宋体" w:hAnsi="宋体" w:cs="宋体"/>
                <w:sz w:val="21"/>
                <w:szCs w:val="21"/>
                <w:lang w:val="en-US" w:eastAsia="zh-CN" w:bidi="ar-SA"/>
              </w:rPr>
              <w:t>天</w:t>
            </w:r>
          </w:p>
        </w:tc>
        <w:tc>
          <w:tcPr>
            <w:tcW w:w="2764" w:type="dxa"/>
            <w:tcBorders>
              <w:top w:val="single" w:sz="6" w:space="0" w:color="auto"/>
              <w:left w:val="single" w:sz="6" w:space="0" w:color="auto"/>
            </w:tcBorders>
            <w:tcMar>
              <w:top w:w="8" w:type="dxa"/>
              <w:left w:w="108" w:type="dxa"/>
              <w:bottom w:w="8" w:type="dxa"/>
              <w:right w:w="108" w:type="dxa"/>
            </w:tcMar>
            <w:vAlign w:val="center"/>
            <w:hideMark/>
          </w:tcPr>
          <w:p w:rsidR="004411E4" w:rsidRDefault="004411E4">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w:t>
            </w:r>
          </w:p>
        </w:tc>
      </w:tr>
    </w:tbl>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注：赎回费用由赎回基金份额的基金份额持有人承担，在基金份额持有人赎回基金份额时收取。赎回费全额计入基金财产。</w:t>
      </w:r>
    </w:p>
    <w:p w:rsidR="004411E4" w:rsidRDefault="004411E4">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5 转换业务</w:t>
      </w:r>
    </w:p>
    <w:p w:rsidR="004411E4" w:rsidRDefault="004411E4">
      <w:pPr>
        <w:widowControl w:val="0"/>
        <w:spacing w:before="156" w:after="156"/>
        <w:rPr>
          <w:rFonts w:eastAsia="Times New Roman"/>
          <w:lang w:val="en-US" w:eastAsia="zh-CN" w:bidi="ar-SA"/>
        </w:rPr>
      </w:pPr>
      <w:r>
        <w:rPr>
          <w:rFonts w:ascii="宋体" w:hAnsi="宋体" w:cs="宋体"/>
          <w:b/>
          <w:bCs/>
          <w:lang w:val="en-US" w:eastAsia="zh-CN" w:bidi="ar-SA"/>
        </w:rPr>
        <w:t>5.1 转换费率</w:t>
      </w:r>
    </w:p>
    <w:p w:rsidR="004411E4" w:rsidRDefault="004411E4">
      <w:pPr>
        <w:widowControl w:val="0"/>
        <w:spacing w:line="360" w:lineRule="auto"/>
        <w:ind w:firstLine="420"/>
        <w:rPr>
          <w:rFonts w:eastAsia="Times New Roman"/>
          <w:sz w:val="21"/>
          <w:szCs w:val="21"/>
          <w:lang w:val="en-US" w:eastAsia="zh-CN" w:bidi="ar-SA"/>
        </w:rPr>
      </w:pPr>
      <w:bookmarkStart w:id="26" w:name="t_2_5_0179_a1_fm1"/>
      <w:bookmarkEnd w:id="26"/>
      <w:r>
        <w:rPr>
          <w:rFonts w:ascii="宋体" w:hAnsi="宋体" w:cs="宋体"/>
          <w:sz w:val="21"/>
          <w:szCs w:val="21"/>
          <w:lang w:val="en-US" w:eastAsia="zh-CN" w:bidi="ar-SA"/>
        </w:rPr>
        <w:t>本基金的转换按照转出基金的赎回费用加上转出与转入基金申购费用补差的标准收取费用。具体转换费用组成如下：</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1、赎回费用</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的赎回费率按持有年限递减，具体各基金的赎回费率请参见各基金的招募说明书或相关业务公告，并可在本公司网站（www.phfund.com）查询。基金转换费用中转出基金的赎回费总额归入转出基金的基金财产比例详见转出基金招募说明书（更新）的约定。</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2、申购费用补差</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（1）当转出基金申购费低于转入基金申购费时，则按差额收取申购费用补差；当转出基金申购费高于或等于转入基金申购费时，不收取费用补差。</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（2）免申购费用的基金转入本基金，转换申购费用补差为本基金的申购费。</w:t>
      </w:r>
    </w:p>
    <w:p w:rsidR="004411E4" w:rsidRDefault="004411E4">
      <w:pPr>
        <w:widowControl w:val="0"/>
        <w:spacing w:before="156" w:after="156"/>
        <w:jc w:val="both"/>
        <w:rPr>
          <w:rFonts w:eastAsia="Times New Roman"/>
          <w:lang w:val="en-US" w:eastAsia="zh-CN" w:bidi="ar-SA"/>
        </w:rPr>
      </w:pPr>
      <w:r>
        <w:rPr>
          <w:rFonts w:ascii="宋体" w:hAnsi="宋体" w:cs="宋体"/>
          <w:b/>
          <w:bCs/>
          <w:lang w:val="en-US" w:eastAsia="zh-CN" w:bidi="ar-SA"/>
        </w:rPr>
        <w:t>5.2 其他与转换相关的事项</w:t>
      </w:r>
    </w:p>
    <w:p w:rsidR="004411E4" w:rsidRDefault="004411E4">
      <w:pPr>
        <w:widowControl w:val="0"/>
        <w:spacing w:line="360" w:lineRule="auto"/>
        <w:ind w:firstLine="420"/>
        <w:rPr>
          <w:rFonts w:eastAsia="Times New Roman"/>
          <w:sz w:val="21"/>
          <w:szCs w:val="21"/>
          <w:lang w:val="en-US" w:eastAsia="zh-CN" w:bidi="ar-SA"/>
        </w:rPr>
      </w:pPr>
      <w:bookmarkStart w:id="27" w:name="t_2_5_2824_a1_fm1"/>
      <w:bookmarkEnd w:id="27"/>
      <w:r>
        <w:rPr>
          <w:rFonts w:ascii="宋体" w:hAnsi="宋体" w:cs="宋体"/>
          <w:sz w:val="21"/>
          <w:szCs w:val="21"/>
          <w:lang w:val="en-US" w:eastAsia="zh-CN" w:bidi="ar-SA"/>
        </w:rPr>
        <w:t>1、转换业务适用基金范围</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上述基金的转换业务适用于其与鹏华双债增利债券型证券投资基金、鹏华双债加利债券型证券投资基金、鹏华可转债债券型证券投资基金、鹏华双债保利债券型证券投资基金、鹏华环保产业股票型证券投资基金、鹏华品牌传承灵活配置混合型证券投资基金、鹏华聚财通货币市场基金、鹏华增值宝货币市场基金、鹏华先进制造股票型证券投资基金、鹏华医疗保健股票型证券投资基金、鹏华养老产业股票型证券投资基金、鹏华安盈宝货币市场基金、鹏华弘盛灵活配置混合型证券投资基金（包括A类份额和C类份额）、鹏华弘利灵活配置混合型证券投资基金（包括A类份额和C类份额）、鹏华弘泽灵活配置混合型证券投资基金（包括A类份额和C类份额）、鹏华改革红利股票型证券投资基金、鹏华弘润灵活配置混合型证券投资基金（包括A类份额和C类份额）、鹏华外延成长灵活配置混合型证券投资基金、鹏华文化传媒娱乐股票型证券投资基金、鹏华医药科技股票型证券投资基金、鹏华弘和灵活配置混合型证券投资基金（包括A类份额和C类份额）、鹏华弘华灵活配置混合型证券投资基金（包括A类份额和C类份额）、鹏华弘实灵活证券投资基金（包括A类份额和C类份额）、鹏华弘信灵活配置混合型证券投资基金（包括A类份额和C类份额）、鹏华弘益灵活配置混合型证券投资基金（包括A类份额和C类份额）、鹏华弘鑫灵活配置混合型证券投资基金（包括A类份额和C类份额）、鹏华添利宝货币市场基金、鹏华弘泰灵活配置混合型证券投资基金（包括A类份额和C类份额）、鹏华弘安灵活配置混合型证券投资基金（包括A类份额和C类份额）、鹏华丰华债券型证券投资基金、鹏华健康环保混合型证券投资基金、鹏华添利交易型货币市场基金A 类份额、鹏华金鼎灵活配置混合型证券投资基金（包括A类份额和C类份额）、鹏华兴利混合型证券投资基金、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鹏华丰恒债券型证券投资基金、鹏华弘惠灵活配置混合型证券投资基金（包括A类份额和C类份额）、鹏华弘康灵活配置混合型证券投资基金（包括A类份额和C类份额）、鹏华弘尚灵活配置混合型证券投资基金（包括A类份额和C类份额）、鹏华丰腾债券型证券投资基金、鹏华丰禄债券型证券投资基金、鹏华丰盈债券型证券投资基金、鹏华丰惠债券型证券投资基金、鹏华安益增强混合型证券投资基金、鹏华丰康债券型证券投资基金、鹏华丰享债券型证券投资基金、鹏华丰玉债券型证券投资基金、鹏华丰源债券型证券投资基金、鹏华丰瑞债券型证券投资基金、鹏华盈余宝货币市场基金、鹏华金元宝货币市场基金、鹏华兴鑫宝货币市场基金、鹏华策略回报灵活配置混合型证券投资基金、鹏华研究精选灵活配置混合型证券投资基金、鹏华优势企业股票型证券投资基金、鹏华睿投灵活配置混合型证券投资基金、鹏华量化先锋混合型证券投资基金、鹏华产业精选灵活配置混合型证券投资基金、鹏华创新驱动混合型证券投资基金、鹏华研究驱动混合型证券投资基金、鹏华优选回报灵活配置混合型证券投资基金、鹏华核心优势混合型证券投资基金、鹏华中债1-3 年国开行债券指数证券投资基金（包含A类份额和C类份额）、鹏华研究智选混合型证券投资基金、鹏华 9-10 年利率债债券型发起式证券投资基金、鹏华金利债券型证券投资基金、鹏华丰鑫债券型证券投资基金、鹏华丰登债券型证券投资基金、鹏华浮动净值型发起式货币市场基金、鹏华丰庆债券型证券投资基金、鹏华精选成长混合型证券投资基金、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鹏华0-5年利率债债券型发起式证券投资基金、鹏华金享混合型证券投资基金、鹏华稳利短债债券型证券投资基金（包括A类份额和C类份额）、鹏华优选价值股票型证券投资基金、鹏华中证500交易型开放式指数证券投资基金联接基金（包含A类份额和C类份额）、鹏华价值驱动混合型证券投资基金、鹏华价值成长混合型证券投资基金、鹏华安泽混合型证券投资基金（包括A类份额和C类份额）、鹏华鑫享稳健混合型证券投资基金（包括A类份额和C类份额）、鹏华中债3-5年国开行债券指数证券投资基金（包括A类份额和C类份额）、鹏华稳健回报混合型证券投资基金、鹏华安和混合型证券投资基金（包括A类份额和C类份额）、鹏华丰诚债券型证券投资基金（包括A类份额和C类份额）、鹏华安庆混合型证券投资基金（包括A类份额和C类份额）、鹏华安惠混合型证券投资基金（包括A类份额和C类份额）、鹏华中证高股息龙头交易型开放式指数证券投资基金联接基金（包括A类份额和C类份额）、鹏华股息精选混合型证券投资基金、鹏华成长价值混合型证券投资基金（包括A类份额和C类份额）、鹏华普利债券型证券投资基金（包括A类份额和C类份额）、鹏华优质企业混合型证券投资基金、鹏华中债1-3年农发行债券指数证券投资基金（包括A类份额和C类份额）、鹏华中债-市场隐含评级AAA信用债（1-3年）指数证券投资基金（包括A类份额和C类份额）、鹏华中债-0-3年AA+优选信用债指数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丰颐债券型证券投资基金、鹏华科技创新混合型证券投资基金、鹏华安润混合型证券投资基金（包括A类份额和C类份额）、鹏华成长智选混合型证券投资基金（包括A类份额和C类份额）、鹏华高质量增长混合型证券投资基金（包括A类份额和C类份额）、鹏华优选成长混合型证券投资基金（包括A类份额和C类份额）、鹏华汇智优选混合型证券投资基金（包括A类份额和C类份额）、鹏华安享一年持有期混合型证券投资基金（包括A类份额和C类份额）、鹏华年年红一年持有期债券型证券投资基金（包括A类份额和C类份额）、鹏华弘裕一年持有期混合型证券投资基金（包括A类份额和C类份额）、鹏华品质优选混合型证券投资基金（包括A类份额和C类份额）、鹏华安悦一年持有期混合型证券投资基金（包括A类份额和C类份额）、鹏华宁华一年持有期混合型证券投资基金（包括A类份额和C类份额）、鹏华创新成长混合型证券投资基金（包括A类份额和C类份额）、鹏华鑫远价值一年持有期混合型证券投资基金（包括A类份额和C类份额）、鹏华红利优选混合型证券投资基金、鹏华民丰盈和6个月持有期混合型证券投资基金（包括A类份额和C类份额）、鹏华致远成长混合型证券投资基金（包括A类份额和C类份额）、鹏华远见回报三年持有期混合型证券投资基金、鹏华稳泰30天滚动持有债券型证券投资基金（包括A类份额和C类份额）、鹏华安裕5个月持有期混合型证券投资基金（包括A类份额和C类份额）、鹏华中证内地低碳经济主题交易型开放式指数证券投资基金联接基金（包括A类份额和C类份额）、鹏华招润一年持有期混合型证券投资基金（包括A类份额和C类份额）、鹏华国证半导体芯片交易型开放式指数证券投资基金联接基金（包括A类份额和C类份额）、鹏华远见成长混合型证券投资基金（包括A类份额和C类份额）、鹏华丰宁债券型证券投资基金、鹏华创新升级混合型证券投资基金（包括A类份额和C类份额）、鹏华领航一年持有期混合型证券投资基金（包括A类份额和C类份额）、鹏华安荣混合型证券投资基金（包括A类份额和C类份额）、鹏华新能源精选混合型证券投资基金（包括A类份额和C类份额</w:t>
      </w:r>
      <w:r w:rsidRPr="00D5761F">
        <w:rPr>
          <w:rFonts w:ascii="宋体" w:hAnsi="宋体" w:cs="宋体"/>
          <w:sz w:val="21"/>
          <w:szCs w:val="21"/>
          <w:lang w:val="en-US" w:eastAsia="zh-CN" w:bidi="ar-SA"/>
        </w:rPr>
        <w:t>）</w:t>
      </w:r>
      <w:r w:rsidRPr="00D5761F">
        <w:rPr>
          <w:rFonts w:ascii="宋体" w:hAnsi="宋体" w:cs="宋体" w:hint="eastAsia"/>
          <w:sz w:val="21"/>
          <w:szCs w:val="21"/>
          <w:lang w:val="en-US" w:bidi="ar-SA"/>
        </w:rPr>
        <w:t>、鹏华安源5个月持有期混合型证券投资基金</w:t>
      </w:r>
      <w:r w:rsidRPr="00D5761F">
        <w:rPr>
          <w:rFonts w:ascii="宋体" w:hAnsi="宋体" w:cs="宋体"/>
          <w:sz w:val="21"/>
          <w:szCs w:val="21"/>
          <w:lang w:val="en-US" w:eastAsia="zh-CN" w:bidi="ar-SA"/>
        </w:rPr>
        <w:t>（包括A类份额和C类份额）之间的</w:t>
      </w:r>
      <w:r>
        <w:rPr>
          <w:rFonts w:ascii="宋体" w:hAnsi="宋体" w:cs="宋体"/>
          <w:sz w:val="21"/>
          <w:szCs w:val="21"/>
          <w:lang w:val="en-US" w:eastAsia="zh-CN" w:bidi="ar-SA"/>
        </w:rPr>
        <w:t>基金转换。</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注：我司旗下定期开放基金在开放期间开通转换业务的，也适用于与本基金在开放期间的基金转换。</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2、基金转换份额的计算</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基金转换计算公式如下：</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转出基金赎回手续费＝转出份额×转出净值×转出基金赎回手续费率</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转出金额=转出份额×转出基金当日基金份额净值－转出基金赎回手续费</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补差费（外扣）＝转出金额×转入基金的申购费率/（1＋转入基金申购费率）－转出金额×转出基金申购费率/（1＋转出基金申购费率）</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转换费用＝转出基金赎回手续费＋补差费</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转入份额＝（转出金额－补差费）/转入基金当日基金份额净值</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例如：某基金份额持有人（非养老金客户）持有本基金10,000 份，3个月后在本基金处于开放期间时决定转换为鹏华价值精选股票型证券投资基金，本基金对应前端申购费率为0.80%，赎回费率为0，假设转换当日转出基金份额净值是1.08元，转入基金的份额净值是1.05元，并且转入基金对应的前端申购费率为1.5%，则可得到的转换份额为：</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转出基金赎回手续费＝0元</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转出金额=10,000×1.08=10,800元</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补差费（外扣）＝10,800×1.5%/(1+1.5%)-10,800×0.80%/(1+0.80%)= 73.89元</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转换费用＝0+73.89＝73.89元</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转入份额＝（10,800－73.89）/1.05＝10,215.34</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即：某基金份额持有人（非养老金客户）持有本基金10,000 份，3个月后在本基金处于开放期间时决定转换为鹏华价值精选股票型证券投资基金，假设转换当日转出基金份额净值是1.08元，转入基金的基金份额净值是1.05元，则可得到的转换份额为10,215.34份。</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3、转换业务规则</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（1）基金转换只能在同一销售机构进行，且办理基金转换业务的销售机构须同时具备拟转出基金及拟转入基金的合法授权代理资格，并开通了相应的基金转换业务。</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 </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（3）基金转换后，转入的基金份额的持有期将自转入的基金份额被确认之日起重新开始计算。</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（4）本基金单笔转换申请的最低份额为2份，基金份额持有人可将其全部或部分基金份额转换。</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（6）基金转换以申请当日基金份额净值为基础计算。投资人采用“份额转换”的原则提交申请。转出基金份额必须是可用份额，并遵循赎回处理的原则。</w:t>
      </w:r>
    </w:p>
    <w:p w:rsidR="004411E4" w:rsidRDefault="004411E4">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6 基金销售机构</w:t>
      </w:r>
    </w:p>
    <w:p w:rsidR="004411E4" w:rsidRDefault="004411E4">
      <w:pPr>
        <w:widowControl w:val="0"/>
        <w:spacing w:before="156" w:after="156"/>
        <w:jc w:val="both"/>
        <w:rPr>
          <w:rFonts w:eastAsia="Times New Roman"/>
          <w:lang w:val="en-US" w:eastAsia="zh-CN" w:bidi="ar-SA"/>
        </w:rPr>
      </w:pPr>
      <w:r>
        <w:rPr>
          <w:rFonts w:ascii="宋体" w:hAnsi="宋体" w:cs="宋体"/>
          <w:b/>
          <w:bCs/>
          <w:lang w:val="en-US" w:eastAsia="zh-CN" w:bidi="ar-SA"/>
        </w:rPr>
        <w:t>6.1 直销机构</w:t>
      </w:r>
    </w:p>
    <w:p w:rsidR="004411E4" w:rsidRDefault="004411E4">
      <w:pPr>
        <w:widowControl w:val="0"/>
        <w:spacing w:line="360" w:lineRule="auto"/>
        <w:ind w:firstLine="420"/>
        <w:rPr>
          <w:rFonts w:eastAsia="Times New Roman"/>
          <w:sz w:val="21"/>
          <w:szCs w:val="21"/>
          <w:lang w:val="en-US" w:eastAsia="zh-CN" w:bidi="ar-SA"/>
        </w:rPr>
      </w:pPr>
      <w:bookmarkStart w:id="28" w:name="t_2_7_2833_a1_fm1"/>
      <w:bookmarkEnd w:id="28"/>
      <w:r>
        <w:rPr>
          <w:rFonts w:ascii="宋体" w:hAnsi="宋体" w:cs="宋体"/>
          <w:sz w:val="21"/>
          <w:szCs w:val="21"/>
          <w:lang w:val="en-US" w:eastAsia="zh-CN" w:bidi="ar-SA"/>
        </w:rPr>
        <w:t xml:space="preserve">鹏华基金管理有限公司直销中心，包括本公司设在深圳、北京、上海、武汉、广州的直销中心。 </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办公地址：深圳市福田区福华三路168号深圳国际商会中心43层 </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网址：www.phfund.com</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全国统一客服务电话：400-6788-533</w:t>
      </w:r>
    </w:p>
    <w:p w:rsidR="004411E4" w:rsidRDefault="004411E4">
      <w:pPr>
        <w:widowControl w:val="0"/>
        <w:spacing w:before="156" w:after="156"/>
        <w:jc w:val="both"/>
        <w:rPr>
          <w:rFonts w:eastAsia="Times New Roman"/>
          <w:lang w:val="en-US" w:eastAsia="zh-CN" w:bidi="ar-SA"/>
        </w:rPr>
      </w:pPr>
      <w:r>
        <w:rPr>
          <w:rFonts w:ascii="宋体" w:hAnsi="宋体" w:cs="宋体"/>
          <w:b/>
          <w:bCs/>
          <w:lang w:val="en-US" w:eastAsia="zh-CN" w:bidi="ar-SA"/>
        </w:rPr>
        <w:t>6.2 其他销售机构</w:t>
      </w:r>
    </w:p>
    <w:p w:rsidR="004411E4" w:rsidRPr="004411E4" w:rsidRDefault="004411E4">
      <w:pPr>
        <w:widowControl w:val="0"/>
        <w:spacing w:before="156" w:after="156"/>
        <w:jc w:val="both"/>
        <w:rPr>
          <w:rFonts w:hint="eastAsia"/>
          <w:sz w:val="21"/>
          <w:szCs w:val="21"/>
          <w:lang w:val="en-US" w:bidi="ar-SA"/>
        </w:rPr>
      </w:pPr>
      <w:bookmarkStart w:id="29" w:name="t_2_8_2756_a1_fm1"/>
      <w:bookmarkEnd w:id="29"/>
      <w:r>
        <w:rPr>
          <w:rFonts w:hint="eastAsia"/>
          <w:sz w:val="21"/>
          <w:szCs w:val="21"/>
          <w:lang w:val="en-US" w:bidi="ar-SA"/>
        </w:rPr>
        <w:t xml:space="preserve">         </w:t>
      </w:r>
      <w:r>
        <w:rPr>
          <w:rFonts w:hint="eastAsia"/>
          <w:sz w:val="21"/>
          <w:szCs w:val="21"/>
          <w:lang w:val="en-US" w:bidi="ar-SA"/>
        </w:rPr>
        <w:t>无</w:t>
      </w:r>
      <w:r>
        <w:rPr>
          <w:sz w:val="21"/>
          <w:szCs w:val="21"/>
          <w:lang w:val="en-US" w:bidi="ar-SA"/>
        </w:rPr>
        <w:t>。</w:t>
      </w:r>
    </w:p>
    <w:p w:rsidR="004411E4" w:rsidRDefault="004411E4">
      <w:pPr>
        <w:widowControl w:val="0"/>
        <w:spacing w:before="156" w:after="156"/>
        <w:jc w:val="both"/>
        <w:rPr>
          <w:rFonts w:eastAsia="Times New Roman"/>
          <w:lang w:val="en-US" w:eastAsia="zh-CN" w:bidi="ar-SA"/>
        </w:rPr>
      </w:pPr>
      <w:r>
        <w:rPr>
          <w:rFonts w:ascii="宋体" w:hAnsi="宋体" w:cs="宋体"/>
          <w:b/>
          <w:bCs/>
          <w:lang w:val="en-US" w:eastAsia="zh-CN" w:bidi="ar-SA"/>
        </w:rPr>
        <w:t>7 基金份额净值公告/基金收益公告的披露安排</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在封闭期内，本基金至少每周在</w:t>
      </w:r>
      <w:r w:rsidR="009914F6">
        <w:rPr>
          <w:rFonts w:ascii="宋体" w:hAnsi="宋体" w:cs="宋体" w:hint="eastAsia"/>
          <w:sz w:val="21"/>
          <w:szCs w:val="21"/>
          <w:lang w:val="en-US" w:bidi="ar-SA"/>
        </w:rPr>
        <w:t>规</w:t>
      </w:r>
      <w:r>
        <w:rPr>
          <w:rFonts w:ascii="宋体" w:hAnsi="宋体" w:cs="宋体"/>
          <w:sz w:val="21"/>
          <w:szCs w:val="21"/>
          <w:lang w:val="en-US" w:eastAsia="zh-CN" w:bidi="ar-SA"/>
        </w:rPr>
        <w:t>定网站披露一次基金份额净值和基金份额累计净值。在开放期内，本基金在不晚于每个开放日的次日，通过</w:t>
      </w:r>
      <w:r w:rsidR="009914F6">
        <w:rPr>
          <w:rFonts w:ascii="宋体" w:hAnsi="宋体" w:cs="宋体" w:hint="eastAsia"/>
          <w:sz w:val="21"/>
          <w:szCs w:val="21"/>
          <w:lang w:val="en-US" w:bidi="ar-SA"/>
        </w:rPr>
        <w:t>规</w:t>
      </w:r>
      <w:r>
        <w:rPr>
          <w:rFonts w:ascii="宋体" w:hAnsi="宋体" w:cs="宋体"/>
          <w:sz w:val="21"/>
          <w:szCs w:val="21"/>
          <w:lang w:val="en-US" w:eastAsia="zh-CN" w:bidi="ar-SA"/>
        </w:rPr>
        <w:t>定网站、基金销售机构网站或营业网点，披露开放日的基金份额净值和基金份额累计净值。</w:t>
      </w:r>
    </w:p>
    <w:p w:rsidR="004411E4" w:rsidRDefault="004411E4">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8 </w:t>
      </w:r>
      <w:bookmarkStart w:id="30" w:name="t_2_9_table"/>
      <w:bookmarkEnd w:id="30"/>
      <w:r>
        <w:rPr>
          <w:rFonts w:ascii="宋体" w:hAnsi="宋体" w:cs="宋体"/>
          <w:i w:val="0"/>
          <w:iCs w:val="0"/>
          <w:sz w:val="24"/>
          <w:szCs w:val="24"/>
          <w:lang w:val="en-US" w:eastAsia="zh-CN" w:bidi="ar-SA"/>
        </w:rPr>
        <w:t>其他需要提示的事项</w:t>
      </w:r>
    </w:p>
    <w:p w:rsidR="004411E4" w:rsidRDefault="004411E4">
      <w:pPr>
        <w:widowControl w:val="0"/>
        <w:spacing w:line="360" w:lineRule="auto"/>
        <w:ind w:firstLine="420"/>
        <w:rPr>
          <w:rFonts w:eastAsia="Times New Roman"/>
          <w:sz w:val="21"/>
          <w:szCs w:val="21"/>
          <w:lang w:val="en-US" w:eastAsia="zh-CN" w:bidi="ar-SA"/>
        </w:rPr>
      </w:pPr>
      <w:bookmarkStart w:id="31" w:name="t_2_9_2646_a1_fm1"/>
      <w:bookmarkEnd w:id="31"/>
      <w:r>
        <w:rPr>
          <w:rFonts w:ascii="宋体" w:hAnsi="宋体" w:cs="宋体"/>
          <w:sz w:val="21"/>
          <w:szCs w:val="21"/>
          <w:lang w:val="en-US" w:eastAsia="zh-CN" w:bidi="ar-SA"/>
        </w:rPr>
        <w:t xml:space="preserve">1、本基金的封闭期为自基金合同生效之日（含）起或自每一开放期结束之日次日（含）起至3个月后的对应日的前一日止。本基金的第一个封闭期为自基金合同生效之日（含）起至3个月后的对应日的前一日止。下一个封闭期为首个开放期结束之日次日（含）起至3个月后的对应日的前一日止，以此类推。如该对应日不存在对应日期或为非工作日，则顺延至下一工作日。本基金封闭期内不办理申购与赎回业务，也不上市交易。 </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一般情况下，本基金的开放期为自封闭期结束之日后第一个工作日（含）起不少于一个工作日、不超过二十个工作日的期间，具体期间由基金管理人在封闭期结束前公告说明。开放期内，本基金采取开放运作方式，投资人可办理基金份额的申购、赎回或其他业务，开放期未赎回的份额将自动转入下一个封闭期。</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3、如发生不可抗力或其他情形致使基金无法按时开放或需依据基金合同暂停申购与赎回业务的，基金管理人有权合理调整申购或赎回业务的办理期间并予以公告。</w:t>
      </w: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公告仅对本基金开放申购、赎回和转换业务的有关事项予以说明。本基金不向个人投资者公开销售，投资人欲了解本基金相关业务规则的详细情况，请阅读刊登在中国证监会规定信息披露媒介上的《鹏华尊信3个月定期开放债券型发起式证券投资基金招募说明书》及其更新。</w:t>
      </w:r>
    </w:p>
    <w:p w:rsidR="004411E4" w:rsidRDefault="004411E4">
      <w:pPr>
        <w:widowControl w:val="0"/>
        <w:spacing w:line="360" w:lineRule="auto"/>
        <w:ind w:firstLine="420"/>
        <w:rPr>
          <w:rFonts w:eastAsia="Times New Roman"/>
          <w:sz w:val="21"/>
          <w:szCs w:val="21"/>
          <w:lang w:val="en-US" w:eastAsia="zh-CN" w:bidi="ar-SA"/>
        </w:rPr>
      </w:pPr>
    </w:p>
    <w:p w:rsidR="004411E4" w:rsidRDefault="004411E4">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风险提示：本基金管理人承诺以诚实信用、勤勉尽责的原则管理和运用基金资产，但不保证基金一定盈利，也不保证最低收益。请投资人投资本基金前认真阅读本基金的基金合同、招募说明书（更新）和基金产品资料概要（更新），并根据自身风险承受能力选择适合自己的基金产品。敬请投资人注意投资风险。</w:t>
      </w:r>
    </w:p>
    <w:p w:rsidR="004411E4" w:rsidRDefault="004411E4">
      <w:pPr>
        <w:widowControl w:val="0"/>
        <w:spacing w:line="360" w:lineRule="auto"/>
        <w:rPr>
          <w:rFonts w:eastAsia="Times New Roman"/>
          <w:sz w:val="21"/>
          <w:szCs w:val="21"/>
          <w:lang w:val="en-US" w:eastAsia="zh-CN" w:bidi="ar-SA"/>
        </w:rPr>
      </w:pPr>
    </w:p>
    <w:p w:rsidR="004411E4" w:rsidRDefault="004411E4">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4411E4" w:rsidRDefault="004411E4">
      <w:pPr>
        <w:widowControl w:val="0"/>
        <w:spacing w:line="360" w:lineRule="auto"/>
        <w:ind w:firstLine="420"/>
        <w:jc w:val="right"/>
        <w:rPr>
          <w:rFonts w:eastAsia="Times New Roman"/>
          <w:sz w:val="21"/>
          <w:szCs w:val="21"/>
          <w:lang w:val="en-US" w:eastAsia="zh-CN" w:bidi="ar-SA"/>
        </w:rPr>
      </w:pPr>
      <w:r>
        <w:rPr>
          <w:rFonts w:eastAsia="Times New Roman"/>
          <w:sz w:val="21"/>
          <w:szCs w:val="21"/>
          <w:lang w:val="en-US" w:eastAsia="zh-CN" w:bidi="ar-SA"/>
        </w:rPr>
        <w:t>2021</w:t>
      </w:r>
      <w:r>
        <w:rPr>
          <w:rFonts w:ascii="MS Mincho" w:eastAsia="MS Mincho" w:hAnsi="MS Mincho" w:cs="MS Mincho"/>
          <w:sz w:val="21"/>
          <w:szCs w:val="21"/>
          <w:lang w:val="en-US" w:eastAsia="zh-CN" w:bidi="ar-SA"/>
        </w:rPr>
        <w:t>年</w:t>
      </w:r>
      <w:r>
        <w:rPr>
          <w:rFonts w:eastAsia="Times New Roman"/>
          <w:sz w:val="21"/>
          <w:szCs w:val="21"/>
          <w:lang w:val="en-US" w:eastAsia="zh-CN" w:bidi="ar-SA"/>
        </w:rPr>
        <w:t>10</w:t>
      </w:r>
      <w:r>
        <w:rPr>
          <w:rFonts w:ascii="MS Mincho" w:eastAsia="MS Mincho" w:hAnsi="MS Mincho" w:cs="MS Mincho"/>
          <w:sz w:val="21"/>
          <w:szCs w:val="21"/>
          <w:lang w:val="en-US" w:eastAsia="zh-CN" w:bidi="ar-SA"/>
        </w:rPr>
        <w:t>月</w:t>
      </w:r>
      <w:r>
        <w:rPr>
          <w:rFonts w:eastAsia="Times New Roman"/>
          <w:sz w:val="21"/>
          <w:szCs w:val="21"/>
          <w:lang w:val="en-US" w:eastAsia="zh-CN" w:bidi="ar-SA"/>
        </w:rPr>
        <w:t>27</w:t>
      </w:r>
      <w:r>
        <w:rPr>
          <w:rFonts w:ascii="MS Mincho" w:eastAsia="MS Mincho" w:hAnsi="MS Mincho" w:cs="MS Mincho"/>
          <w:sz w:val="21"/>
          <w:szCs w:val="21"/>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06" w:rsidRDefault="00960706" w:rsidP="009914F6">
      <w:r>
        <w:separator/>
      </w:r>
    </w:p>
  </w:endnote>
  <w:endnote w:type="continuationSeparator" w:id="0">
    <w:p w:rsidR="00960706" w:rsidRDefault="00960706" w:rsidP="0099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06" w:rsidRDefault="00960706" w:rsidP="009914F6">
      <w:r>
        <w:separator/>
      </w:r>
    </w:p>
  </w:footnote>
  <w:footnote w:type="continuationSeparator" w:id="0">
    <w:p w:rsidR="00960706" w:rsidRDefault="00960706" w:rsidP="00991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411E4"/>
    <w:rsid w:val="007B4C49"/>
    <w:rsid w:val="00960706"/>
    <w:rsid w:val="009914F6"/>
    <w:rsid w:val="009E0A06"/>
    <w:rsid w:val="00A77B3E"/>
    <w:rsid w:val="00CA2A55"/>
    <w:rsid w:val="00D5761F"/>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9914F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914F6"/>
    <w:rPr>
      <w:sz w:val="18"/>
      <w:szCs w:val="18"/>
    </w:rPr>
  </w:style>
  <w:style w:type="paragraph" w:styleId="a4">
    <w:name w:val="footer"/>
    <w:basedOn w:val="a"/>
    <w:link w:val="Char0"/>
    <w:rsid w:val="009914F6"/>
    <w:pPr>
      <w:tabs>
        <w:tab w:val="center" w:pos="4153"/>
        <w:tab w:val="right" w:pos="8306"/>
      </w:tabs>
      <w:snapToGrid w:val="0"/>
    </w:pPr>
    <w:rPr>
      <w:sz w:val="18"/>
      <w:szCs w:val="18"/>
    </w:rPr>
  </w:style>
  <w:style w:type="character" w:customStyle="1" w:styleId="Char0">
    <w:name w:val="页脚 Char"/>
    <w:link w:val="a4"/>
    <w:rsid w:val="009914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2021-10-26T16:05:00Z</dcterms:created>
  <dcterms:modified xsi:type="dcterms:W3CDTF">2021-10-26T16:05:00Z</dcterms:modified>
</cp:coreProperties>
</file>