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342A0E">
        <w:rPr>
          <w:rFonts w:ascii="仿宋" w:eastAsia="仿宋" w:hAnsi="仿宋" w:hint="eastAsia"/>
          <w:b/>
          <w:sz w:val="32"/>
          <w:szCs w:val="32"/>
        </w:rPr>
        <w:t>3</w:t>
      </w:r>
      <w:r w:rsidR="00D457F6">
        <w:rPr>
          <w:rFonts w:ascii="仿宋" w:eastAsia="仿宋" w:hAnsi="仿宋" w:hint="eastAsia"/>
          <w:b/>
          <w:sz w:val="32"/>
          <w:szCs w:val="32"/>
        </w:rPr>
        <w:t>7</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年第</w:t>
      </w:r>
      <w:r w:rsidR="00D457F6">
        <w:rPr>
          <w:rFonts w:ascii="仿宋" w:eastAsia="仿宋" w:hAnsi="仿宋" w:hint="eastAsia"/>
          <w:b/>
          <w:sz w:val="32"/>
          <w:szCs w:val="32"/>
        </w:rPr>
        <w:t>三</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13</w:t>
      </w:r>
      <w:r w:rsidR="00D457F6">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只基金</w:t>
      </w:r>
      <w:r w:rsidRPr="00600655">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第</w:t>
      </w:r>
      <w:r w:rsidR="00D457F6">
        <w:rPr>
          <w:rFonts w:ascii="仿宋" w:eastAsia="仿宋" w:hAnsi="仿宋" w:hint="eastAsia"/>
          <w:color w:val="000000" w:themeColor="text1"/>
          <w:sz w:val="32"/>
          <w:szCs w:val="32"/>
        </w:rPr>
        <w:t>三</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342A0E">
        <w:rPr>
          <w:rFonts w:ascii="仿宋" w:eastAsia="仿宋" w:hAnsi="仿宋" w:hint="eastAsia"/>
          <w:color w:val="000000" w:themeColor="text1"/>
          <w:sz w:val="32"/>
          <w:szCs w:val="32"/>
        </w:rPr>
        <w:t>13</w:t>
      </w:r>
      <w:r w:rsidR="00D457F6">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只基金的</w:t>
      </w:r>
      <w:r w:rsidRPr="00600655">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第</w:t>
      </w:r>
      <w:r w:rsidR="00D457F6">
        <w:rPr>
          <w:rFonts w:ascii="仿宋" w:eastAsia="仿宋" w:hAnsi="仿宋" w:hint="eastAsia"/>
          <w:color w:val="000000" w:themeColor="text1"/>
          <w:sz w:val="32"/>
          <w:szCs w:val="32"/>
        </w:rPr>
        <w:t>三</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报告全文于2021年</w:t>
      </w:r>
      <w:r w:rsidR="00FC046F">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sidR="00F75274">
        <w:rPr>
          <w:rFonts w:ascii="仿宋" w:eastAsia="仿宋" w:hAnsi="仿宋" w:hint="eastAsia"/>
          <w:color w:val="000000" w:themeColor="text1"/>
          <w:sz w:val="32"/>
          <w:szCs w:val="32"/>
        </w:rPr>
        <w:t>2</w:t>
      </w:r>
      <w:r w:rsidR="00FC046F">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bookmarkStart w:id="1" w:name="_GoBack"/>
      <w:bookmarkEnd w:id="1"/>
    </w:p>
    <w:tbl>
      <w:tblPr>
        <w:tblW w:w="8429" w:type="dxa"/>
        <w:tblInd w:w="93" w:type="dxa"/>
        <w:tblLook w:val="04A0"/>
      </w:tblPr>
      <w:tblGrid>
        <w:gridCol w:w="1008"/>
        <w:gridCol w:w="7421"/>
      </w:tblGrid>
      <w:tr w:rsidR="00600655" w:rsidTr="00600655">
        <w:trPr>
          <w:trHeight w:val="288"/>
        </w:trPr>
        <w:tc>
          <w:tcPr>
            <w:tcW w:w="1008" w:type="dxa"/>
            <w:tcBorders>
              <w:top w:val="single" w:sz="4" w:space="0" w:color="auto"/>
              <w:left w:val="single" w:sz="4" w:space="0" w:color="auto"/>
              <w:bottom w:val="single" w:sz="4" w:space="0" w:color="auto"/>
              <w:right w:val="single" w:sz="4" w:space="0" w:color="auto"/>
            </w:tcBorders>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基金名称</w:t>
            </w:r>
          </w:p>
        </w:tc>
      </w:tr>
      <w:tr w:rsidR="0028766A" w:rsidTr="00560BEE">
        <w:trPr>
          <w:trHeight w:val="288"/>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建信MSCI中国A股国际通交易型开放式指数证券投资基金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建信MSCI中国A股国际通交易型开放式指数证券投资基金发起式联接基金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建信MSCI中国A股指数增强型证券投资基金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建信安心回报6个月定期开放债券型证券投资基金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建信安心回报定期开放债券型证券投资基金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建信创新中国混合型证券投资基金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建信创业板交易型开放式指数证券投资基金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建信创业板交易型开放式指数证券投资基金发起式联接基金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建信纯债债券型证券投资基金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建信大安全战略精选股票型证券投资基金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lastRenderedPageBreak/>
              <w:t>11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建信短债债券型证券投资基金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建信多因子量化股票型证券投资基金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建信丰裕多策略灵活配置混合型证券投资基金(LOF)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建信福泽安泰混合型基金中基金(FOF)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建信福泽裕泰混合型基金中基金(FOF)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建信富时100指数型证券投资基金(QDII)</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建信改革红利股票型证券投资基金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建信港股通恒生中国企业交易型开放式指数证券投资基金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建信高端医疗股票型证券投资基金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建信高端装备股票型证券投资基金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建信高股息主题股票型证券投资基金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22</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建信核心精选混合型证券投资基金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建信恒安一年定期开放债券型证券投资基金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建信恒久价值混合型证券投资基金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建信恒瑞一年定期开放债券型证券投资基金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建信恒稳价值混合型证券投资基金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建信恒远一年定期开放债券型证券投资基金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建信弘利灵活配置混合型证券投资基金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29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建信泓利一年持有期债券型证券投资基金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建信互联网+产业升级股票型证券投资基金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31</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建信沪深300红利交易型开放式指数证券投资基金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32</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建信沪深300指数增强型证券投资基金(LOF)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lastRenderedPageBreak/>
              <w:t>33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建信沪深300指数证券投资基金(LOF)</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建信环保产业股票型证券投资基金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建信汇利灵活配置混合型证券投资基金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建信货币市场基金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建信积极配置混合型证券投资基金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建信嘉薪宝货币市场基金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39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建信健康民生混合型证券投资基金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建信精工制造指数增强型证券投资基金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建信科技创新3年封闭运作灵活配置混合型证券投资基金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建信科技创新混合型证券投资基金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建信利率债策略纯债债券型证券投资基金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建信利率债债券型证券投资基金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建信量化事件驱动股票型证券投资基金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建信量化优享定期开放灵活配置混合型证券投资基金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建信龙头企业股票型证券投资基金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49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建信民丰回报定期开放混合型证券投资基金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建信纳斯达克100指数型证券投资基金(QDII)</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建信内生动力混合型证券投资基金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建信普泽养老目标日期2040三年持有期混合型发起式基金中基金(FOF)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建信潜力新蓝筹股票型证券投资基金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建信荣禧一年定期开放债券型证券投资基金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建信荣元一年定期开放债券型发起式证券投资基金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建信瑞丰添利混合型证券投资基金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建信睿丰纯债定期开放债券型发起式证券投资基金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建信睿富纯债债券型证券投资基金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59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建信睿和纯债定期开放债券型发起式证券投资基金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建信睿享纯债债券型证券投资基金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建信睿信三个月定期开放债券型发起式证券投资基金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建信睿兴纯债债券型证券投资基金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建信睿阳一年定期开放债券型发起式证券投资基金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建信睿怡纯债债券型证券投资基金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建信睿盈灵活配置混合型证券投资基金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建信润利增强债券型证券投资基金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67</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建信上海金交易型开放式证券投资基金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68</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建信上海金交易型开放式证券投资基金联接基金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69</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建信上证50交易型开放式指数证券投资基金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70</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建信上证50交易型开放式指数证券投资基金发起式联接基金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71</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建信上证社会责任交易型开放式指数证券投资基金联接基金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72</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建信社会责任混合型证券投资基金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建信深证100指数增强型证券投资基金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建信深证基本面60交易型开放式指数证券投资基金联接基金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建信食品饮料行业股票型证券投资基金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建信收益增强债券型证券投资基金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建信双息红利债券型证券投资基金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建信双债增强债券型证券投资基金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79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建信天添益货币市场基金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80</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建信稳定得利债券型证券投资基金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81</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建信稳定丰利债券型证券投资基金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建信稳定鑫利债券型证券投资基金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建信稳定增利债券型证券投资基金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建信现代服务业股票型证券投资基金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建信现金添利货币市场基金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建信现金添益交易型货币市场基金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建信现金增利货币市场基金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建信消费升级混合型证券投资基金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89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建信新经济灵活配置混合型证券投资基金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建信新能源行业股票型证券投资基金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建信新兴市场优选混合型证券投资基金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建信鑫安回报灵活配置混合型证券投资基金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建信鑫利回报灵活配置混合型证券投资基金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建信鑫利灵活配置混合型证券投资基金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建信鑫荣回报灵活配置混合型证券投资基金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建信鑫瑞回报灵活配置混合型证券投资基金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建信鑫稳回报灵活配置混合型证券投资基金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建信鑫泽回报灵活配置混合型证券投资基金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99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建信信息产业股票型证券投资基金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建信信用增强债券型证券投资基金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建信兴利灵活配置混合型证券投资基金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建信央视财经50指数证券投资基金(LOF)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建信易盛郑商所能源化工期货交易型开放式指数证券投资基金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建信易盛郑商所能源化工期货交易型开放式指数证券投资基金发起式联接基金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建信优化配置混合型证券投资基金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建信优势动力混合型证券投资基金(LOF)</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建信优享稳健养老目标一年持有期混合型基金中基金(FOF)</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建信优选成长混合型证券投资基金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109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建信裕丰利率债三个月定期开放债券型证券投资基金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建信裕利灵活配置混合型证券投资基金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建信战略精选灵活配置混合型证券投资基金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建信臻选混合型证券投资基金</w:t>
            </w:r>
          </w:p>
        </w:tc>
      </w:tr>
      <w:tr w:rsidR="0028766A" w:rsidTr="00560BEE">
        <w:trPr>
          <w:trHeight w:val="288"/>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建信智汇优选一年持有期混合型管理人中管理人(MOM)证券投资基金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建信智能生活混合型证券投资基金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115</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建信中短债纯债债券型证券投资基金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116</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建信中国制造2025股票型证券投资基金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117</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建信中小盘先锋股票型证券投资基金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118</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建信中债1-3年国开行债券指数证券投资基金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119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建信中债1-3年农发行债券指数证券投资基金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120</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建信中债3-5年国开行债券指数证券投资基金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121</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建信中债5-10年国开行债券指数证券投资基金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122</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建信中债湖北省地方政府债指数发起式证券投资基金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123</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建信中证1000交易型开放式指数证券投资基金</w:t>
            </w:r>
          </w:p>
        </w:tc>
      </w:tr>
      <w:tr w:rsidR="0028766A" w:rsidTr="00560BEE">
        <w:trPr>
          <w:trHeight w:val="312"/>
        </w:trPr>
        <w:tc>
          <w:tcPr>
            <w:tcW w:w="1008" w:type="dxa"/>
            <w:tcBorders>
              <w:top w:val="nil"/>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124</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建信中证1000指数增强型发起式证券投资基金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125</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建信中证500指数增强型证券投资基金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126</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建信中证创新药产业交易型开放式指数证券投资基金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127</w:t>
            </w:r>
          </w:p>
        </w:tc>
        <w:tc>
          <w:tcPr>
            <w:tcW w:w="7421" w:type="dxa"/>
            <w:tcBorders>
              <w:top w:val="single" w:sz="4" w:space="0" w:color="auto"/>
              <w:left w:val="single" w:sz="4" w:space="0" w:color="auto"/>
              <w:bottom w:val="single" w:sz="4" w:space="0" w:color="auto"/>
              <w:right w:val="single" w:sz="4" w:space="0" w:color="auto"/>
            </w:tcBorders>
            <w:noWrap/>
            <w:hideMark/>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建信中证红利潜力指数证券投资基金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128</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FD42AE">
            <w:pPr>
              <w:widowControl/>
              <w:jc w:val="left"/>
              <w:rPr>
                <w:rFonts w:ascii="仿宋" w:eastAsia="仿宋" w:hAnsi="仿宋"/>
                <w:sz w:val="22"/>
              </w:rPr>
            </w:pPr>
            <w:r w:rsidRPr="00FC046F">
              <w:rPr>
                <w:rFonts w:ascii="仿宋" w:eastAsia="仿宋" w:hAnsi="仿宋" w:hint="eastAsia"/>
                <w:sz w:val="22"/>
              </w:rPr>
              <w:t>建信中证沪港深粤港澳大湾区发展主题交易型开放式指数证券投资基金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129</w:t>
            </w:r>
          </w:p>
        </w:tc>
        <w:tc>
          <w:tcPr>
            <w:tcW w:w="7421" w:type="dxa"/>
            <w:tcBorders>
              <w:top w:val="nil"/>
              <w:left w:val="single" w:sz="4" w:space="0" w:color="auto"/>
              <w:bottom w:val="single" w:sz="4" w:space="0" w:color="auto"/>
              <w:right w:val="single" w:sz="4" w:space="0" w:color="auto"/>
            </w:tcBorders>
            <w:noWrap/>
            <w:hideMark/>
          </w:tcPr>
          <w:p w:rsidR="0028766A" w:rsidRPr="00FC046F" w:rsidRDefault="0028766A" w:rsidP="00FD42AE">
            <w:pPr>
              <w:widowControl/>
              <w:jc w:val="left"/>
              <w:rPr>
                <w:rFonts w:ascii="仿宋" w:eastAsia="仿宋" w:hAnsi="仿宋"/>
                <w:sz w:val="22"/>
              </w:rPr>
            </w:pPr>
            <w:r w:rsidRPr="00FC046F">
              <w:rPr>
                <w:rFonts w:ascii="仿宋" w:eastAsia="仿宋" w:hAnsi="仿宋" w:hint="eastAsia"/>
                <w:sz w:val="22"/>
              </w:rPr>
              <w:t>建信中证全指医疗保健设备与服务交易型开放式指数证券投资基金</w:t>
            </w:r>
          </w:p>
        </w:tc>
      </w:tr>
      <w:tr w:rsidR="0028766A" w:rsidTr="0028766A">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130</w:t>
            </w:r>
          </w:p>
        </w:tc>
        <w:tc>
          <w:tcPr>
            <w:tcW w:w="7421" w:type="dxa"/>
            <w:tcBorders>
              <w:top w:val="nil"/>
              <w:left w:val="single" w:sz="4" w:space="0" w:color="auto"/>
              <w:bottom w:val="nil"/>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建信中证全指证券公司交易型开放式指数证券投资基金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131</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建信中证物联网主题交易型开放式指数证券投资基金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132</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建信中证细分有色金属产业主题交易型开放式指数证券投资基金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133</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建信中证智能电动汽车交易型开放式指数证券投资基金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134</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建信周盈安心理财债券型证券投资基金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135</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建信转债增强债券型证券投资基金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136</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上证社会责任交易型开放式指数证券投资基金</w:t>
            </w:r>
          </w:p>
        </w:tc>
      </w:tr>
      <w:tr w:rsidR="0028766A"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8766A" w:rsidRPr="00FC046F" w:rsidRDefault="0028766A" w:rsidP="00FC046F">
            <w:pPr>
              <w:jc w:val="center"/>
              <w:rPr>
                <w:rFonts w:ascii="仿宋" w:eastAsia="仿宋" w:hAnsi="仿宋"/>
                <w:sz w:val="22"/>
              </w:rPr>
            </w:pPr>
            <w:r w:rsidRPr="00FC046F">
              <w:rPr>
                <w:rFonts w:ascii="仿宋" w:eastAsia="仿宋" w:hAnsi="仿宋" w:hint="eastAsia"/>
                <w:sz w:val="22"/>
              </w:rPr>
              <w:t>137</w:t>
            </w:r>
          </w:p>
        </w:tc>
        <w:tc>
          <w:tcPr>
            <w:tcW w:w="7421" w:type="dxa"/>
            <w:tcBorders>
              <w:top w:val="nil"/>
              <w:left w:val="single" w:sz="4" w:space="0" w:color="auto"/>
              <w:bottom w:val="single" w:sz="4" w:space="0" w:color="auto"/>
              <w:right w:val="single" w:sz="4" w:space="0" w:color="auto"/>
            </w:tcBorders>
            <w:noWrap/>
          </w:tcPr>
          <w:p w:rsidR="0028766A" w:rsidRPr="00FC046F" w:rsidRDefault="0028766A" w:rsidP="00600655">
            <w:pPr>
              <w:widowControl/>
              <w:jc w:val="left"/>
              <w:rPr>
                <w:rFonts w:ascii="仿宋" w:eastAsia="仿宋" w:hAnsi="仿宋"/>
                <w:sz w:val="22"/>
              </w:rPr>
            </w:pPr>
            <w:r w:rsidRPr="00FC046F">
              <w:rPr>
                <w:rFonts w:ascii="仿宋" w:eastAsia="仿宋" w:hAnsi="仿宋" w:hint="eastAsia"/>
                <w:sz w:val="22"/>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2021年</w:t>
      </w:r>
      <w:r w:rsidR="007A2227">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sidR="00097BAB">
        <w:rPr>
          <w:rFonts w:ascii="仿宋" w:eastAsia="仿宋" w:hAnsi="仿宋" w:hint="eastAsia"/>
          <w:color w:val="000000" w:themeColor="text1"/>
          <w:sz w:val="32"/>
          <w:szCs w:val="32"/>
        </w:rPr>
        <w:t>2</w:t>
      </w:r>
      <w:r w:rsidR="007A2227">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日</w:t>
      </w:r>
    </w:p>
    <w:p w:rsidR="00600655" w:rsidRDefault="00600655" w:rsidP="00600655"/>
    <w:p w:rsidR="00942254" w:rsidRDefault="00942254"/>
    <w:sectPr w:rsidR="00942254" w:rsidSect="00642D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FF" w:rsidRDefault="000E6BFF" w:rsidP="006A2311">
      <w:r>
        <w:separator/>
      </w:r>
    </w:p>
  </w:endnote>
  <w:endnote w:type="continuationSeparator" w:id="0">
    <w:p w:rsidR="000E6BFF" w:rsidRDefault="000E6BFF"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FF" w:rsidRDefault="000E6BFF" w:rsidP="006A2311">
      <w:r>
        <w:separator/>
      </w:r>
    </w:p>
  </w:footnote>
  <w:footnote w:type="continuationSeparator" w:id="0">
    <w:p w:rsidR="000E6BFF" w:rsidRDefault="000E6BFF"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46993"/>
    <w:rsid w:val="0005215C"/>
    <w:rsid w:val="00097BAB"/>
    <w:rsid w:val="000E6BFF"/>
    <w:rsid w:val="002859A8"/>
    <w:rsid w:val="002868F2"/>
    <w:rsid w:val="0028766A"/>
    <w:rsid w:val="002C77B3"/>
    <w:rsid w:val="00324D7C"/>
    <w:rsid w:val="00342A0E"/>
    <w:rsid w:val="0039212A"/>
    <w:rsid w:val="005A2501"/>
    <w:rsid w:val="00600655"/>
    <w:rsid w:val="00642DA4"/>
    <w:rsid w:val="00672FA7"/>
    <w:rsid w:val="006A2311"/>
    <w:rsid w:val="0078702E"/>
    <w:rsid w:val="007A2227"/>
    <w:rsid w:val="00880D39"/>
    <w:rsid w:val="008C2C8A"/>
    <w:rsid w:val="00940C49"/>
    <w:rsid w:val="00942254"/>
    <w:rsid w:val="00AD482E"/>
    <w:rsid w:val="00B258DA"/>
    <w:rsid w:val="00BC431E"/>
    <w:rsid w:val="00CF0ABF"/>
    <w:rsid w:val="00D457F6"/>
    <w:rsid w:val="00E63EEE"/>
    <w:rsid w:val="00F15D36"/>
    <w:rsid w:val="00F42577"/>
    <w:rsid w:val="00F75274"/>
    <w:rsid w:val="00FC046F"/>
    <w:rsid w:val="00FD4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3249</Characters>
  <Application>Microsoft Office Word</Application>
  <DocSecurity>4</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Principle</dc:creator>
  <cp:keywords/>
  <dc:description/>
  <cp:lastModifiedBy>ZHONGM</cp:lastModifiedBy>
  <cp:revision>2</cp:revision>
  <dcterms:created xsi:type="dcterms:W3CDTF">2021-10-25T16:04:00Z</dcterms:created>
  <dcterms:modified xsi:type="dcterms:W3CDTF">2021-10-25T16:04:00Z</dcterms:modified>
</cp:coreProperties>
</file>