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516EC">
      <w:pPr>
        <w:pStyle w:val="XBRL2"/>
        <w:spacing w:before="156"/>
      </w:pPr>
      <w:bookmarkStart w:id="0" w:name="_Toc510201001"/>
      <w:bookmarkEnd w:id="0"/>
      <w:r>
        <w:t xml:space="preserve">　</w:t>
      </w:r>
      <w:r>
        <w:t xml:space="preserve"> </w:t>
      </w:r>
    </w:p>
    <w:p w:rsidR="00000000" w:rsidRDefault="000516EC">
      <w:pPr>
        <w:jc w:val="center"/>
        <w:rPr>
          <w:rFonts w:cs="Times New Roman" w:hint="eastAsia"/>
          <w:b/>
          <w:sz w:val="48"/>
          <w:szCs w:val="48"/>
        </w:rPr>
      </w:pPr>
      <w:r>
        <w:rPr>
          <w:rFonts w:cs="Times New Roman" w:hint="eastAsia"/>
          <w:b/>
          <w:sz w:val="48"/>
          <w:szCs w:val="48"/>
        </w:rPr>
        <w:t>国寿安保基金管理有限公司</w:t>
      </w:r>
    </w:p>
    <w:p w:rsidR="00000000" w:rsidRDefault="000516EC">
      <w:pPr>
        <w:jc w:val="center"/>
      </w:pPr>
      <w:r>
        <w:rPr>
          <w:rFonts w:cs="Times New Roman" w:hint="eastAsia"/>
          <w:b/>
          <w:sz w:val="48"/>
          <w:szCs w:val="48"/>
        </w:rPr>
        <w:t>基金改聘会计师事务所公告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</w:t>
      </w:r>
      <w:r>
        <w:rPr>
          <w:rFonts w:hint="eastAsia"/>
          <w:color w:val="000000"/>
          <w:kern w:val="0"/>
          <w:sz w:val="18"/>
        </w:rPr>
        <w:t xml:space="preserve"> </w:t>
      </w:r>
    </w:p>
    <w:p w:rsidR="00000000" w:rsidRDefault="000516EC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</w:t>
      </w:r>
      <w:r>
        <w:rPr>
          <w:rFonts w:hint="eastAsia"/>
          <w:b/>
          <w:bCs/>
          <w:sz w:val="24"/>
          <w:szCs w:val="30"/>
        </w:rPr>
        <w:t>2021</w:t>
      </w:r>
      <w:r>
        <w:rPr>
          <w:rFonts w:hint="eastAsia"/>
          <w:b/>
          <w:bCs/>
          <w:sz w:val="24"/>
          <w:szCs w:val="30"/>
        </w:rPr>
        <w:t>年</w:t>
      </w:r>
      <w:r>
        <w:rPr>
          <w:rFonts w:hint="eastAsia"/>
          <w:b/>
          <w:bCs/>
          <w:sz w:val="24"/>
          <w:szCs w:val="30"/>
        </w:rPr>
        <w:t>10</w:t>
      </w:r>
      <w:r>
        <w:rPr>
          <w:rFonts w:hint="eastAsia"/>
          <w:b/>
          <w:bCs/>
          <w:sz w:val="24"/>
          <w:szCs w:val="30"/>
        </w:rPr>
        <w:t>月</w:t>
      </w:r>
      <w:r>
        <w:rPr>
          <w:rFonts w:hint="eastAsia"/>
          <w:b/>
          <w:bCs/>
          <w:sz w:val="24"/>
          <w:szCs w:val="30"/>
        </w:rPr>
        <w:t>20</w:t>
      </w:r>
      <w:r>
        <w:rPr>
          <w:rFonts w:hint="eastAsia"/>
          <w:b/>
          <w:bCs/>
          <w:sz w:val="24"/>
          <w:szCs w:val="30"/>
        </w:rPr>
        <w:t>日</w:t>
      </w:r>
    </w:p>
    <w:p w:rsidR="00000000" w:rsidRDefault="000516EC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40"/>
        <w:gridCol w:w="1421"/>
        <w:gridCol w:w="1420"/>
        <w:gridCol w:w="2841"/>
      </w:tblGrid>
      <w:tr w:rsidR="00000000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基金管理人名称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国寿安保基金管理有限公司</w:t>
            </w:r>
          </w:p>
        </w:tc>
      </w:tr>
      <w:tr w:rsidR="00000000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公告依据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《中华人民共和国证券投资基金法》《公开募集证券投资基金信息披露管理办法》《公开募集证券投资基金运作管理办法》等法律法规，</w:t>
            </w:r>
            <w:r>
              <w:rPr>
                <w:rFonts w:cs="Times New Roman" w:hint="eastAsia"/>
                <w:szCs w:val="21"/>
              </w:rPr>
              <w:t>各基金基金合同、招募说明书</w:t>
            </w:r>
            <w:r>
              <w:rPr>
                <w:rFonts w:cs="Times New Roman" w:hint="eastAsia"/>
                <w:szCs w:val="21"/>
              </w:rPr>
              <w:t>及国寿安保基金管理有限公司董事会会议决议。</w:t>
            </w:r>
          </w:p>
        </w:tc>
      </w:tr>
      <w:tr w:rsidR="00000000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改聘日期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2021</w:t>
            </w:r>
            <w:r>
              <w:rPr>
                <w:rFonts w:cs="Times New Roman" w:hint="eastAsia"/>
                <w:szCs w:val="21"/>
              </w:rPr>
              <w:t>年</w:t>
            </w:r>
            <w:r>
              <w:rPr>
                <w:rFonts w:cs="Times New Roman" w:hint="eastAsia"/>
                <w:szCs w:val="21"/>
              </w:rPr>
              <w:t>10</w:t>
            </w:r>
            <w:r>
              <w:rPr>
                <w:rFonts w:cs="Times New Roman" w:hint="eastAsia"/>
                <w:szCs w:val="21"/>
              </w:rPr>
              <w:t>月</w:t>
            </w:r>
            <w:r>
              <w:rPr>
                <w:rFonts w:cs="Times New Roman" w:hint="eastAsia"/>
                <w:szCs w:val="21"/>
              </w:rPr>
              <w:t>20</w:t>
            </w:r>
            <w:r>
              <w:rPr>
                <w:rFonts w:cs="Times New Roman" w:hint="eastAsia"/>
                <w:szCs w:val="21"/>
              </w:rPr>
              <w:t>日</w:t>
            </w:r>
          </w:p>
        </w:tc>
      </w:tr>
      <w:tr w:rsidR="00000000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改聘前会计师事务所名称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安永华</w:t>
            </w:r>
            <w:r>
              <w:rPr>
                <w:rFonts w:cs="Times New Roman" w:hint="eastAsia"/>
                <w:szCs w:val="21"/>
              </w:rPr>
              <w:t>明会计师事务所（特殊普通合伙）</w:t>
            </w:r>
          </w:p>
        </w:tc>
      </w:tr>
      <w:tr w:rsidR="00000000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改聘后会计师事务所名称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普华永道中天会计师事务所</w:t>
            </w:r>
            <w:r>
              <w:rPr>
                <w:rFonts w:cs="Times New Roman" w:hint="eastAsia"/>
                <w:szCs w:val="21"/>
              </w:rPr>
              <w:t>(</w:t>
            </w:r>
            <w:r>
              <w:rPr>
                <w:rFonts w:cs="Times New Roman" w:hint="eastAsia"/>
                <w:szCs w:val="21"/>
              </w:rPr>
              <w:t>特殊普通合伙</w:t>
            </w:r>
            <w:r>
              <w:rPr>
                <w:rFonts w:cs="Times New Roman" w:hint="eastAsia"/>
                <w:szCs w:val="21"/>
              </w:rPr>
              <w:t>)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基金名称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基金简称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基金主代码</w:t>
            </w:r>
            <w:r>
              <w:rPr>
                <w:rFonts w:cs="Times New Roman" w:hint="eastAsia"/>
                <w:szCs w:val="21"/>
              </w:rPr>
              <w:t xml:space="preserve"> 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国寿安保货币市场基金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国寿安保货币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000505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国寿安保沪深</w:t>
            </w:r>
            <w:r>
              <w:rPr>
                <w:rFonts w:cs="Times New Roman" w:hint="eastAsia"/>
                <w:szCs w:val="21"/>
              </w:rPr>
              <w:t>300</w:t>
            </w:r>
            <w:r>
              <w:rPr>
                <w:rFonts w:cs="Times New Roman" w:hint="eastAsia"/>
                <w:szCs w:val="21"/>
              </w:rPr>
              <w:t>交易型开放式指数证券投资基金联接基金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国寿安保沪深</w:t>
            </w:r>
            <w:r>
              <w:rPr>
                <w:rFonts w:cs="Times New Roman" w:hint="eastAsia"/>
                <w:szCs w:val="21"/>
              </w:rPr>
              <w:t>300ETF</w:t>
            </w:r>
            <w:r>
              <w:rPr>
                <w:rFonts w:cs="Times New Roman" w:hint="eastAsia"/>
                <w:szCs w:val="21"/>
              </w:rPr>
              <w:t>联接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000613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国寿安保尊享债券型证券投资基金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国寿安保尊享债券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000668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国寿安保薪金宝货币市场基金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国寿安保薪金宝货币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000895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国寿安保尊益信用纯债债券型证券投资基金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国寿安保尊益信用纯债债券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000931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</w:t>
            </w:r>
            <w:r>
              <w:rPr>
                <w:rFonts w:cs="Times New Roman" w:hint="eastAsia"/>
                <w:szCs w:val="21"/>
              </w:rPr>
              <w:t>寿安保聚宝盆货币市场基金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国寿安保聚宝盆货币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001096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国寿安保中证</w:t>
            </w:r>
            <w:r>
              <w:rPr>
                <w:rFonts w:cs="Times New Roman" w:hint="eastAsia"/>
                <w:szCs w:val="21"/>
              </w:rPr>
              <w:t>500</w:t>
            </w:r>
            <w:r>
              <w:rPr>
                <w:rFonts w:cs="Times New Roman" w:hint="eastAsia"/>
                <w:szCs w:val="21"/>
              </w:rPr>
              <w:t>交易型开放式指数证券投资基金联接基金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国寿安保中证</w:t>
            </w:r>
            <w:r>
              <w:rPr>
                <w:rFonts w:cs="Times New Roman" w:hint="eastAsia"/>
                <w:szCs w:val="21"/>
              </w:rPr>
              <w:t>500ETF</w:t>
            </w:r>
            <w:r>
              <w:rPr>
                <w:rFonts w:cs="Times New Roman" w:hint="eastAsia"/>
                <w:szCs w:val="21"/>
              </w:rPr>
              <w:t>联接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001241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国寿安保成长优选股票型证券投资基金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国寿安保成长优选股票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001521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国寿安保智慧生活股票型证券投资基金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国寿安保智慧生活股票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001672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国寿安保增金宝货币市场基金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国寿安保增金宝货币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001826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国寿安保鑫钱包货币市场基金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国寿安保鑫钱包货币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001931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国寿安保灵活优选混合型证券投资基金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国寿安保灵活优选混合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001932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国寿安保稳惠灵活配置混合型证券投资基金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国寿安保稳惠混合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002148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国寿安保核心产业灵活配置混合型证券投资基金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国寿安保核心产业混合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002376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国寿安保尊利增强回报债券型证券投资基金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国寿安保尊利增强回报债券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002720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lastRenderedPageBreak/>
              <w:t>国寿安保强国智造灵活配置混合型证券投资基金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国寿安保强国智造混合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003131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国寿安保安康纯债债券型证券投资基金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国寿安保安康纯债债券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003285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国寿安保添利货币市场基金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国寿安保添利货币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003422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国寿安保安享纯债债券型证券投资基金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国寿安保安享纯债债券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003514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国寿安保稳诚混合型证券投资基金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国寿安保稳诚混合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004225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国寿安保稳嘉混合型证券投资基金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国寿安保稳嘉混合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004258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国寿安保稳荣混合型证券投资基金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国寿安保稳荣混合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004279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国寿安保稳信混合型证券投资基金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国寿安保稳信混合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004301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国寿安保尊裕优化回报债券型证券投资基金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国寿安保尊裕优化回报债券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004318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国寿安保稳寿混合型证券投资基金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国寿安保稳寿混合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004405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国寿安保安瑞纯债债券型证券投资基金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国寿安保安瑞纯债债券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004629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</w:t>
            </w:r>
            <w:r>
              <w:rPr>
                <w:rFonts w:cs="Times New Roman" w:hint="eastAsia"/>
                <w:szCs w:val="21"/>
              </w:rPr>
              <w:t>稳吉混合型证券投资基金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国寿安保稳吉混合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004756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国寿安保稳泰一年定期开放混合型证券投资基金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国寿安保稳泰一年定开混合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004772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国寿安保安盛纯债</w:t>
            </w:r>
            <w:r>
              <w:rPr>
                <w:rFonts w:cs="Times New Roman" w:hint="eastAsia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个月定期开放债券型发起式证券投资基金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国寿安保安盛纯债</w:t>
            </w:r>
            <w:r>
              <w:rPr>
                <w:rFonts w:cs="Times New Roman" w:hint="eastAsia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个月定开债券发起式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004797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国寿安保目标策略灵活配置混合型发起式证券投资基金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国寿安保目标策略混合发起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004818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国寿安保安吉纯债半年定期开放债券型发起式证券投资基金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国寿安保安吉纯债半年定开债券发起式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004821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国寿安保健康科学混合型证券投资基金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国寿安保健康科学混合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</w:t>
            </w:r>
            <w:r>
              <w:rPr>
                <w:rFonts w:cs="Times New Roman" w:hint="eastAsia"/>
                <w:szCs w:val="21"/>
              </w:rPr>
              <w:t>05043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国寿安保安裕纯债半年定期开放债券型发起式证券投资基金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国寿安保安裕纯债半年定开债券发起式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005208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国寿安保华兴灵活配置混合型证券投资基金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国寿安保华兴灵活配置混合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005683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国寿安保安丰纯债债券型证券投资基金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国寿安保安丰纯债债券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006599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国寿安保尊荣中短债债券型证券投资基金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国寿安保尊荣中短债债券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006773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国寿安保泰和纯债债券型证券投资基金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国寿安保泰和纯债债券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006919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国寿安保泰恒纯债债券型证券投资基金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国寿安保泰恒纯债债券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006980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国寿安保中</w:t>
            </w:r>
            <w:r>
              <w:rPr>
                <w:rFonts w:cs="Times New Roman" w:hint="eastAsia"/>
                <w:szCs w:val="21"/>
              </w:rPr>
              <w:t>债</w:t>
            </w:r>
            <w:r>
              <w:rPr>
                <w:rFonts w:cs="Times New Roman" w:hint="eastAsia"/>
                <w:szCs w:val="21"/>
              </w:rPr>
              <w:t>1-3</w:t>
            </w:r>
            <w:r>
              <w:rPr>
                <w:rFonts w:cs="Times New Roman" w:hint="eastAsia"/>
                <w:szCs w:val="21"/>
              </w:rPr>
              <w:t>年国开行债券指数型证券投资基金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国寿安保中债</w:t>
            </w:r>
            <w:r>
              <w:rPr>
                <w:rFonts w:cs="Times New Roman" w:hint="eastAsia"/>
                <w:szCs w:val="21"/>
              </w:rPr>
              <w:t>1-3</w:t>
            </w:r>
            <w:r>
              <w:rPr>
                <w:rFonts w:cs="Times New Roman" w:hint="eastAsia"/>
                <w:szCs w:val="21"/>
              </w:rPr>
              <w:t>年国开债指数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007010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国寿安保新蓝筹灵活配置混合型证券投资基金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国寿安保新蓝筹混合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007074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国寿安保泰荣纯债债券型证券投资基金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国寿安保泰荣纯债债券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007215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国寿安保泰弘纯债债券型证券投资基金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国寿安保泰弘纯债债券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007419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国寿安保尊耀纯债债券型证券投资基金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国寿安保尊耀纯债债券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007837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国寿安保安泽纯债</w:t>
            </w:r>
            <w:r>
              <w:rPr>
                <w:rFonts w:cs="Times New Roman" w:hint="eastAsia"/>
                <w:szCs w:val="21"/>
              </w:rPr>
              <w:t>39</w:t>
            </w:r>
            <w:r>
              <w:rPr>
                <w:rFonts w:cs="Times New Roman" w:hint="eastAsia"/>
                <w:szCs w:val="21"/>
              </w:rPr>
              <w:t>个月定期开放债券型证券投资基金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国寿安保安泽纯债</w:t>
            </w:r>
            <w:r>
              <w:rPr>
                <w:rFonts w:cs="Times New Roman" w:hint="eastAsia"/>
                <w:szCs w:val="21"/>
              </w:rPr>
              <w:t>39</w:t>
            </w:r>
            <w:r>
              <w:rPr>
                <w:rFonts w:cs="Times New Roman" w:hint="eastAsia"/>
                <w:szCs w:val="21"/>
              </w:rPr>
              <w:t>个月定开债券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007970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国寿安保研究精选混合型</w:t>
            </w:r>
            <w:r>
              <w:rPr>
                <w:rFonts w:cs="Times New Roman" w:hint="eastAsia"/>
                <w:szCs w:val="21"/>
              </w:rPr>
              <w:t>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国寿安保研究精选混合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008082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国寿安保泰祥纯债一年定期开放债券型发起式证券投资基金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国寿安保泰祥纯债一年定开债券发起式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008289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国寿安保泰瑞纯债一年定期开放债券型发起式证券投资基金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国寿安保泰瑞纯债一年定开债券发起式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008503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国寿安保稳健养老目标一年持有期混合型发起式基金中基金（</w:t>
            </w:r>
            <w:r>
              <w:rPr>
                <w:rFonts w:cs="Times New Roman" w:hint="eastAsia"/>
                <w:szCs w:val="21"/>
              </w:rPr>
              <w:t>FOF</w:t>
            </w:r>
            <w:r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国寿安保稳健养老一年持有混合发起式（</w:t>
            </w:r>
            <w:r>
              <w:rPr>
                <w:rFonts w:cs="Times New Roman" w:hint="eastAsia"/>
                <w:szCs w:val="21"/>
              </w:rPr>
              <w:t>FOF</w:t>
            </w:r>
            <w:r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008617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国寿安保尊盛双债债券型证券投资基金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国寿安保尊盛双债债券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008740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国寿安保尊诚纯债债券型证券投资基金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国寿安保尊诚</w:t>
            </w:r>
            <w:r>
              <w:rPr>
                <w:rFonts w:cs="Times New Roman" w:hint="eastAsia"/>
                <w:szCs w:val="21"/>
              </w:rPr>
              <w:t>纯债债券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008873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国寿安保尊恒利率债债券型证券投资基金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国寿安保尊恒利率债债券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008875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国寿安保策略优选</w:t>
            </w:r>
            <w:r>
              <w:rPr>
                <w:rFonts w:cs="Times New Roman" w:hint="eastAsia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个月持有期混合型基金中基金（</w:t>
            </w:r>
            <w:r>
              <w:rPr>
                <w:rFonts w:cs="Times New Roman" w:hint="eastAsia"/>
                <w:szCs w:val="21"/>
              </w:rPr>
              <w:t>FOF</w:t>
            </w:r>
            <w:r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国寿安保策略优选</w:t>
            </w:r>
            <w:r>
              <w:rPr>
                <w:rFonts w:cs="Times New Roman" w:hint="eastAsia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个月持有混合（</w:t>
            </w:r>
            <w:r>
              <w:rPr>
                <w:rFonts w:cs="Times New Roman" w:hint="eastAsia"/>
                <w:szCs w:val="21"/>
              </w:rPr>
              <w:t>FOF</w:t>
            </w:r>
            <w:r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009151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国寿安保稳丰</w:t>
            </w:r>
            <w:r>
              <w:rPr>
                <w:rFonts w:cs="Times New Roman" w:hint="eastAsia"/>
                <w:szCs w:val="21"/>
              </w:rPr>
              <w:t>6</w:t>
            </w:r>
            <w:r>
              <w:rPr>
                <w:rFonts w:cs="Times New Roman" w:hint="eastAsia"/>
                <w:szCs w:val="21"/>
              </w:rPr>
              <w:t>个月持有期混合型证券投资基金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国寿安保稳丰</w:t>
            </w:r>
            <w:r>
              <w:rPr>
                <w:rFonts w:cs="Times New Roman" w:hint="eastAsia"/>
                <w:szCs w:val="21"/>
              </w:rPr>
              <w:t>6</w:t>
            </w:r>
            <w:r>
              <w:rPr>
                <w:rFonts w:cs="Times New Roman" w:hint="eastAsia"/>
                <w:szCs w:val="21"/>
              </w:rPr>
              <w:t>个月持有混合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009244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国寿安保高股息混合型证券投资基金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国寿安保高股息混合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009500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国寿安保创新医药股票型证券投资基金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国寿安保创新医药股票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009502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国寿安保裕安混合型证券投资基金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国寿安保裕安混合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010205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国寿安保稳和</w:t>
            </w:r>
            <w:r>
              <w:rPr>
                <w:rFonts w:cs="Times New Roman" w:hint="eastAsia"/>
                <w:szCs w:val="21"/>
              </w:rPr>
              <w:t>6</w:t>
            </w:r>
            <w:r>
              <w:rPr>
                <w:rFonts w:cs="Times New Roman" w:hint="eastAsia"/>
                <w:szCs w:val="21"/>
              </w:rPr>
              <w:t>个月持有期混合型证券投资基金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国寿安保稳和</w:t>
            </w:r>
            <w:r>
              <w:rPr>
                <w:rFonts w:cs="Times New Roman" w:hint="eastAsia"/>
                <w:szCs w:val="21"/>
              </w:rPr>
              <w:t>6</w:t>
            </w:r>
            <w:r>
              <w:rPr>
                <w:rFonts w:cs="Times New Roman" w:hint="eastAsia"/>
                <w:szCs w:val="21"/>
              </w:rPr>
              <w:t>个月持有期混合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010541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国寿安保华丰混合型证券投资基金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国寿安保华丰混合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010765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国寿安保稳安混合型证券投资基金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国寿安保稳安混合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010984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国寿安保策略精选灵活配置混合型证券投资基金（</w:t>
            </w:r>
            <w:r>
              <w:rPr>
                <w:rFonts w:cs="Times New Roman" w:hint="eastAsia"/>
                <w:szCs w:val="21"/>
              </w:rPr>
              <w:t>LOF</w:t>
            </w:r>
            <w:r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国寿安保策略精选混合（</w:t>
            </w:r>
            <w:r>
              <w:rPr>
                <w:rFonts w:cs="Times New Roman" w:hint="eastAsia"/>
                <w:szCs w:val="21"/>
              </w:rPr>
              <w:t>LOF</w:t>
            </w:r>
            <w:r>
              <w:rPr>
                <w:rFonts w:cs="Times New Roman" w:hint="eastAsia"/>
                <w:szCs w:val="21"/>
              </w:rPr>
              <w:t>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168002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国寿安保科技创新</w:t>
            </w:r>
            <w:r>
              <w:rPr>
                <w:rFonts w:cs="Times New Roman" w:hint="eastAsia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年封闭运作灵活配置混合型证券投资基金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国寿安保科创</w:t>
            </w:r>
            <w:r>
              <w:rPr>
                <w:rFonts w:cs="Times New Roman" w:hint="eastAsia"/>
                <w:szCs w:val="21"/>
              </w:rPr>
              <w:t>3</w:t>
            </w:r>
            <w:r>
              <w:rPr>
                <w:rFonts w:cs="Times New Roman" w:hint="eastAsia"/>
                <w:szCs w:val="21"/>
              </w:rPr>
              <w:t>年封闭混合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501097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国寿安保中证</w:t>
            </w:r>
            <w:r>
              <w:rPr>
                <w:rFonts w:cs="Times New Roman" w:hint="eastAsia"/>
                <w:szCs w:val="21"/>
              </w:rPr>
              <w:t>500</w:t>
            </w:r>
            <w:r>
              <w:rPr>
                <w:rFonts w:cs="Times New Roman" w:hint="eastAsia"/>
                <w:szCs w:val="21"/>
              </w:rPr>
              <w:t>交易型开放式指数证券投资基金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国寿安保中证</w:t>
            </w:r>
            <w:r>
              <w:rPr>
                <w:rFonts w:cs="Times New Roman" w:hint="eastAsia"/>
                <w:szCs w:val="21"/>
              </w:rPr>
              <w:t>500ETF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510560</w:t>
            </w:r>
          </w:p>
        </w:tc>
      </w:tr>
      <w:tr w:rsidR="00000000">
        <w:trPr>
          <w:trHeight w:val="4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国寿安保场内实时申赎货币市场基金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国寿安保场内实时申赎货币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516EC">
            <w:r>
              <w:rPr>
                <w:rFonts w:cs="Times New Roman" w:hint="eastAsia"/>
                <w:szCs w:val="21"/>
              </w:rPr>
              <w:t>519878</w:t>
            </w:r>
          </w:p>
        </w:tc>
      </w:tr>
    </w:tbl>
    <w:p w:rsidR="00000000" w:rsidRDefault="000516EC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000000" w:rsidRDefault="000516EC">
      <w:pPr>
        <w:spacing w:before="156" w:line="360" w:lineRule="auto"/>
        <w:jc w:val="left"/>
        <w:rPr>
          <w:szCs w:val="21"/>
        </w:rPr>
      </w:pPr>
      <w:r>
        <w:rPr>
          <w:rFonts w:hint="eastAsia"/>
          <w:szCs w:val="21"/>
        </w:rPr>
        <w:t>上述变更事项已按照相关规定及基金合同约定通知基金托管人。</w:t>
      </w:r>
    </w:p>
    <w:p w:rsidR="00000000" w:rsidRDefault="000516EC">
      <w:pPr>
        <w:spacing w:before="156" w:line="360" w:lineRule="auto"/>
        <w:jc w:val="left"/>
        <w:rPr>
          <w:rFonts w:hint="eastAsia"/>
          <w:szCs w:val="21"/>
        </w:rPr>
      </w:pPr>
    </w:p>
    <w:p w:rsidR="00000000" w:rsidRDefault="000516EC">
      <w:pPr>
        <w:spacing w:before="156"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特此公告</w:t>
      </w:r>
    </w:p>
    <w:p w:rsidR="00000000" w:rsidRDefault="000516EC">
      <w:pPr>
        <w:spacing w:line="360" w:lineRule="auto"/>
        <w:ind w:firstLineChars="200" w:firstLine="420"/>
        <w:jc w:val="left"/>
        <w:rPr>
          <w:rFonts w:hint="eastAsia"/>
        </w:rPr>
      </w:pPr>
    </w:p>
    <w:p w:rsidR="00000000" w:rsidRDefault="000516E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0516E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0516E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国寿安保基金管理有限公司</w:t>
      </w:r>
    </w:p>
    <w:p w:rsidR="00000000" w:rsidRDefault="000516EC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2021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20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000000">
      <w:headerReference w:type="default" r:id="rId7"/>
      <w:footerReference w:type="default" r:id="rId8"/>
      <w:pgSz w:w="11907" w:h="16839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516EC">
      <w:r>
        <w:separator/>
      </w:r>
    </w:p>
  </w:endnote>
  <w:endnote w:type="continuationSeparator" w:id="0">
    <w:p w:rsidR="00000000" w:rsidRDefault="0005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6EC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516EC">
      <w:r>
        <w:separator/>
      </w:r>
    </w:p>
  </w:footnote>
  <w:footnote w:type="continuationSeparator" w:id="0">
    <w:p w:rsidR="00000000" w:rsidRDefault="00051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6EC">
    <w:pPr>
      <w:pStyle w:val="a7"/>
      <w:jc w:val="right"/>
      <w:rPr>
        <w:rFonts w:hint="eastAsia"/>
      </w:rPr>
    </w:pPr>
    <w:r>
      <w:rPr>
        <w:rFonts w:hint="eastAsia"/>
      </w:rPr>
      <w:t>国寿安保基金管理有限公司基金改聘会计师事务所公告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547D73EE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148" w:hanging="454"/>
      </w:pPr>
    </w:lvl>
    <w:lvl w:ilvl="2">
      <w:start w:val="1"/>
      <w:numFmt w:val="decimal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attachedTemplate r:id="rId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BF7"/>
    <w:rsid w:val="000516EC"/>
    <w:rsid w:val="00612C0B"/>
    <w:rsid w:val="00637F26"/>
    <w:rsid w:val="00654BF7"/>
    <w:rsid w:val="007C5963"/>
    <w:rsid w:val="008C4256"/>
    <w:rsid w:val="009A2246"/>
    <w:rsid w:val="00D61AA2"/>
    <w:rsid w:val="0ECB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1"/>
    <w:uiPriority w:val="9"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styleId="a3">
    <w:name w:val="footnote reference"/>
    <w:rPr>
      <w:vertAlign w:val="superscript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Char">
    <w:name w:val="脚注文本 Char"/>
    <w:link w:val="a5"/>
    <w:locked/>
    <w:rPr>
      <w:kern w:val="2"/>
      <w:sz w:val="18"/>
      <w:szCs w:val="18"/>
    </w:rPr>
  </w:style>
  <w:style w:type="character" w:styleId="a6">
    <w:name w:val="FollowedHyperlink"/>
    <w:uiPriority w:val="99"/>
    <w:unhideWhenUsed/>
    <w:rPr>
      <w:color w:val="800080"/>
      <w:u w:val="single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character" w:customStyle="1" w:styleId="Char1">
    <w:name w:val="页脚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文档结构图 Char"/>
    <w:link w:val="a9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3">
    <w:name w:val="日期 Char"/>
    <w:link w:val="aa"/>
    <w:locked/>
    <w:rPr>
      <w:kern w:val="2"/>
      <w:sz w:val="21"/>
    </w:rPr>
  </w:style>
  <w:style w:type="character" w:customStyle="1" w:styleId="Char4">
    <w:name w:val="标题 Char"/>
    <w:link w:val="ab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Char5">
    <w:name w:val="副标题 Char"/>
    <w:link w:val="ac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6">
    <w:name w:val="批注框文本 Char"/>
    <w:link w:val="ad"/>
    <w:uiPriority w:val="99"/>
    <w:semiHidden/>
    <w:locked/>
    <w:rPr>
      <w:kern w:val="2"/>
      <w:sz w:val="18"/>
      <w:szCs w:val="18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e">
    <w:name w:val="页眉 字符"/>
    <w:link w:val="a7"/>
    <w:locked/>
    <w:rPr>
      <w:kern w:val="2"/>
      <w:sz w:val="18"/>
      <w:szCs w:val="18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">
    <w:name w:val="脚注文本 字符"/>
    <w:link w:val="a5"/>
    <w:locked/>
    <w:rPr>
      <w:kern w:val="2"/>
      <w:sz w:val="18"/>
      <w:szCs w:val="18"/>
    </w:rPr>
  </w:style>
  <w:style w:type="character" w:customStyle="1" w:styleId="af0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1">
    <w:name w:val="标题 字符"/>
    <w:link w:val="ab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2">
    <w:name w:val="副标题 字符"/>
    <w:link w:val="ac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3">
    <w:name w:val="日期 字符"/>
    <w:link w:val="aa"/>
    <w:locked/>
    <w:rPr>
      <w:kern w:val="2"/>
      <w:sz w:val="21"/>
    </w:rPr>
  </w:style>
  <w:style w:type="character" w:customStyle="1" w:styleId="af4">
    <w:name w:val="文档结构图 字符"/>
    <w:link w:val="a9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5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0">
    <w:name w:val="脚注文本 Char1"/>
    <w:link w:val="a5"/>
    <w:locked/>
    <w:rPr>
      <w:kern w:val="2"/>
      <w:sz w:val="18"/>
      <w:szCs w:val="18"/>
    </w:rPr>
  </w:style>
  <w:style w:type="character" w:customStyle="1" w:styleId="Char11">
    <w:name w:val="页眉 Char1"/>
    <w:link w:val="a7"/>
    <w:locked/>
    <w:rPr>
      <w:kern w:val="2"/>
      <w:sz w:val="18"/>
      <w:szCs w:val="18"/>
    </w:rPr>
  </w:style>
  <w:style w:type="character" w:customStyle="1" w:styleId="Char12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3">
    <w:name w:val="标题 Char1"/>
    <w:link w:val="ab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4">
    <w:name w:val="副标题 Char1"/>
    <w:link w:val="ac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5">
    <w:name w:val="日期 Char1"/>
    <w:link w:val="aa"/>
    <w:locked/>
    <w:rPr>
      <w:rFonts w:ascii="宋体" w:eastAsia="宋体" w:hAnsi="宋体" w:hint="eastAsia"/>
      <w:kern w:val="2"/>
      <w:sz w:val="32"/>
    </w:rPr>
  </w:style>
  <w:style w:type="character" w:customStyle="1" w:styleId="Char16">
    <w:name w:val="文档结构图 Char1"/>
    <w:link w:val="a9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7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1">
    <w:name w:val="页眉 字符1"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styleId="31">
    <w:name w:val="toc 3"/>
    <w:basedOn w:val="a"/>
    <w:next w:val="a"/>
    <w:uiPriority w:val="39"/>
    <w:unhideWhenUsed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styleId="a9">
    <w:name w:val="Document Map"/>
    <w:basedOn w:val="a"/>
    <w:link w:val="Char16"/>
    <w:pPr>
      <w:shd w:val="clear" w:color="auto" w:fill="000080"/>
    </w:pPr>
  </w:style>
  <w:style w:type="paragraph" w:customStyle="1" w:styleId="XBRL4">
    <w:name w:val="XBRL标题4"/>
    <w:basedOn w:val="ac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c"/>
    <w:next w:val="4"/>
    <w:qFormat/>
    <w:pPr>
      <w:spacing w:beforeLines="50" w:after="0" w:line="240" w:lineRule="auto"/>
    </w:pPr>
    <w:rPr>
      <w:bCs/>
    </w:rPr>
  </w:style>
  <w:style w:type="paragraph" w:styleId="ab">
    <w:name w:val="Title"/>
    <w:basedOn w:val="1"/>
    <w:next w:val="2"/>
    <w:link w:val="Char13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paragraph" w:customStyle="1" w:styleId="XBRLTitle6">
    <w:name w:val="XBRLTitle6"/>
    <w:basedOn w:val="ac"/>
    <w:next w:val="4"/>
    <w:qFormat/>
    <w:pPr>
      <w:numPr>
        <w:ilvl w:val="5"/>
        <w:numId w:val="1"/>
      </w:numPr>
      <w:spacing w:beforeLines="50" w:after="0" w:line="240" w:lineRule="auto"/>
      <w:outlineLvl w:val="9"/>
    </w:pPr>
    <w:rPr>
      <w:bCs/>
    </w:rPr>
  </w:style>
  <w:style w:type="paragraph" w:styleId="ad">
    <w:name w:val="Balloon Text"/>
    <w:basedOn w:val="a"/>
    <w:link w:val="Char17"/>
    <w:uiPriority w:val="99"/>
    <w:unhideWhenUsed/>
    <w:rPr>
      <w:sz w:val="18"/>
      <w:szCs w:val="18"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paragraph" w:styleId="12">
    <w:name w:val="toc 1"/>
    <w:basedOn w:val="a"/>
    <w:next w:val="a"/>
    <w:uiPriority w:val="39"/>
    <w:unhideWhenUsed/>
    <w:pPr>
      <w:tabs>
        <w:tab w:val="right" w:leader="dot" w:pos="8835"/>
      </w:tabs>
    </w:pPr>
    <w:rPr>
      <w:lang w:val="en-US" w:eastAsia="zh-CN"/>
    </w:rPr>
  </w:style>
  <w:style w:type="paragraph" w:styleId="aa">
    <w:name w:val="Date"/>
    <w:basedOn w:val="a"/>
    <w:next w:val="a"/>
    <w:link w:val="Char15"/>
    <w:rPr>
      <w:sz w:val="32"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link w:val="Char1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BRLTitle5">
    <w:name w:val="XBRLTitle5"/>
    <w:basedOn w:val="ac"/>
    <w:next w:val="4"/>
    <w:qFormat/>
    <w:pPr>
      <w:numPr>
        <w:ilvl w:val="4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XBRLTitle2">
    <w:name w:val="XBRLTitle2"/>
    <w:basedOn w:val="ac"/>
    <w:next w:val="4"/>
    <w:qFormat/>
    <w:pPr>
      <w:keepNext w:val="0"/>
      <w:keepLines w:val="0"/>
      <w:numPr>
        <w:ilvl w:val="1"/>
        <w:numId w:val="1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1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6">
    <w:name w:val="XBRL标题6"/>
    <w:basedOn w:val="ac"/>
    <w:next w:val="4"/>
    <w:qFormat/>
    <w:pPr>
      <w:spacing w:beforeLines="50" w:after="0" w:line="240" w:lineRule="auto"/>
      <w:outlineLvl w:val="9"/>
    </w:pPr>
    <w:rPr>
      <w:bCs/>
    </w:rPr>
  </w:style>
  <w:style w:type="paragraph" w:styleId="a5">
    <w:name w:val="footnote text"/>
    <w:basedOn w:val="a"/>
    <w:link w:val="Char10"/>
    <w:pPr>
      <w:snapToGrid w:val="0"/>
      <w:jc w:val="left"/>
    </w:pPr>
    <w:rPr>
      <w:sz w:val="18"/>
      <w:szCs w:val="18"/>
    </w:rPr>
  </w:style>
  <w:style w:type="paragraph" w:styleId="a8">
    <w:name w:val="footer"/>
    <w:basedOn w:val="a"/>
    <w:link w:val="Char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5">
    <w:name w:val="XBRL标题5"/>
    <w:basedOn w:val="ac"/>
    <w:next w:val="4"/>
    <w:qFormat/>
    <w:pPr>
      <w:spacing w:beforeLines="50" w:after="0" w:line="240" w:lineRule="auto"/>
      <w:outlineLvl w:val="9"/>
    </w:pPr>
    <w:rPr>
      <w:bCs/>
    </w:rPr>
  </w:style>
  <w:style w:type="paragraph" w:styleId="ac">
    <w:name w:val="Subtitle"/>
    <w:basedOn w:val="2"/>
    <w:next w:val="3"/>
    <w:link w:val="Char14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paragraph" w:customStyle="1" w:styleId="XBRLTitle3">
    <w:name w:val="XBRLTitle3"/>
    <w:basedOn w:val="ac"/>
    <w:next w:val="4"/>
    <w:qFormat/>
    <w:pPr>
      <w:keepNext w:val="0"/>
      <w:keepLines w:val="0"/>
      <w:numPr>
        <w:ilvl w:val="2"/>
        <w:numId w:val="1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Char7">
    <w:name w:val="Char"/>
    <w:basedOn w:val="a"/>
  </w:style>
  <w:style w:type="paragraph" w:styleId="af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4">
    <w:name w:val="XBRLTitle4"/>
    <w:basedOn w:val="ac"/>
    <w:next w:val="4"/>
    <w:qFormat/>
    <w:pPr>
      <w:numPr>
        <w:ilvl w:val="3"/>
        <w:numId w:val="1"/>
      </w:numPr>
      <w:spacing w:beforeLines="50" w:after="0" w:line="240" w:lineRule="auto"/>
      <w:outlineLvl w:val="9"/>
    </w:pPr>
    <w:rPr>
      <w:bCs/>
    </w:rPr>
  </w:style>
  <w:style w:type="paragraph" w:customStyle="1" w:styleId="XBRL3">
    <w:name w:val="XBRL标题3"/>
    <w:basedOn w:val="ac"/>
    <w:next w:val="4"/>
    <w:qFormat/>
    <w:pPr>
      <w:spacing w:beforeLines="50" w:after="0" w:line="240" w:lineRule="auto"/>
      <w:outlineLvl w:val="9"/>
    </w:pPr>
    <w:rPr>
      <w:bCs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4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cp:lastModifiedBy>ZHONGM</cp:lastModifiedBy>
  <cp:revision>2</cp:revision>
  <dcterms:created xsi:type="dcterms:W3CDTF">2021-10-19T16:01:00Z</dcterms:created>
  <dcterms:modified xsi:type="dcterms:W3CDTF">2021-10-19T16:01:00Z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