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10C" w:rsidRDefault="00EC310C">
      <w:pPr>
        <w:pStyle w:val="1"/>
        <w:spacing w:before="0" w:after="0" w:line="560" w:lineRule="exact"/>
        <w:jc w:val="center"/>
        <w:rPr>
          <w:rFonts w:ascii="黑体" w:eastAsia="黑体" w:hAnsi="黑体" w:hint="eastAsia"/>
          <w:b w:val="0"/>
          <w:color w:val="000000"/>
          <w:sz w:val="32"/>
          <w:szCs w:val="32"/>
        </w:rPr>
      </w:pPr>
      <w:bookmarkStart w:id="0" w:name="_Toc275961404"/>
    </w:p>
    <w:p w:rsidR="00C06DE1" w:rsidRPr="00381A3F" w:rsidRDefault="00A43F14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2"/>
          <w:szCs w:val="32"/>
        </w:rPr>
      </w:pPr>
      <w:r w:rsidRPr="00A43F14">
        <w:rPr>
          <w:rFonts w:ascii="黑体" w:eastAsia="黑体" w:hAnsi="黑体" w:hint="eastAsia"/>
          <w:b w:val="0"/>
          <w:color w:val="000000"/>
          <w:sz w:val="32"/>
          <w:szCs w:val="32"/>
        </w:rPr>
        <w:t>国投瑞银精选收益灵活配置混合型证券投资基金</w:t>
      </w:r>
      <w:r w:rsidR="00AC4906" w:rsidRPr="00381A3F">
        <w:rPr>
          <w:rFonts w:ascii="黑体" w:eastAsia="黑体" w:hAnsi="黑体"/>
          <w:b w:val="0"/>
          <w:color w:val="000000"/>
          <w:sz w:val="32"/>
          <w:szCs w:val="32"/>
        </w:rPr>
        <w:t>暂停</w:t>
      </w:r>
      <w:r w:rsidR="002E2F50">
        <w:rPr>
          <w:rFonts w:ascii="黑体" w:eastAsia="黑体" w:hAnsi="黑体" w:hint="eastAsia"/>
          <w:b w:val="0"/>
          <w:color w:val="000000"/>
          <w:sz w:val="32"/>
          <w:szCs w:val="32"/>
        </w:rPr>
        <w:t>及</w:t>
      </w:r>
      <w:r w:rsidR="00D43567">
        <w:rPr>
          <w:rFonts w:ascii="黑体" w:eastAsia="黑体" w:hAnsi="黑体" w:hint="eastAsia"/>
          <w:b w:val="0"/>
          <w:color w:val="000000"/>
          <w:sz w:val="32"/>
          <w:szCs w:val="32"/>
        </w:rPr>
        <w:t>恢复</w:t>
      </w:r>
      <w:r w:rsidR="005B6188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大额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申购（转换转入</w:t>
      </w:r>
      <w:r w:rsidR="007938D0" w:rsidRPr="00381A3F">
        <w:rPr>
          <w:rFonts w:ascii="黑体" w:eastAsia="黑体" w:hAnsi="黑体" w:hint="eastAsia"/>
          <w:b w:val="0"/>
          <w:color w:val="000000"/>
          <w:sz w:val="32"/>
          <w:szCs w:val="32"/>
        </w:rPr>
        <w:t>、</w:t>
      </w:r>
      <w:r w:rsidR="00C06DE1" w:rsidRPr="00381A3F">
        <w:rPr>
          <w:rFonts w:ascii="黑体" w:eastAsia="黑体" w:hAnsi="黑体"/>
          <w:b w:val="0"/>
          <w:color w:val="000000"/>
          <w:sz w:val="32"/>
          <w:szCs w:val="32"/>
        </w:rPr>
        <w:t>定期定额投资）公告</w:t>
      </w:r>
      <w:bookmarkEnd w:id="0"/>
    </w:p>
    <w:p w:rsidR="00C06DE1" w:rsidRPr="00D417E0" w:rsidRDefault="00C06DE1" w:rsidP="00102002">
      <w:pPr>
        <w:spacing w:line="240" w:lineRule="auto"/>
        <w:rPr>
          <w:color w:val="000000"/>
        </w:rPr>
      </w:pPr>
    </w:p>
    <w:p w:rsidR="00C06DE1" w:rsidRPr="00AF6169" w:rsidRDefault="00C06DE1" w:rsidP="00102002">
      <w:pPr>
        <w:spacing w:line="24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391AA8" w:rsidRPr="00391AA8">
        <w:rPr>
          <w:rFonts w:ascii="宋体" w:eastAsia="宋体" w:hAnsi="宋体" w:hint="eastAsia"/>
          <w:color w:val="000000"/>
          <w:sz w:val="24"/>
          <w:szCs w:val="24"/>
        </w:rPr>
        <w:t>2021年10月20日</w:t>
      </w:r>
      <w:r w:rsidRPr="00AF6169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p w:rsidR="00C06DE1" w:rsidRPr="00467383" w:rsidRDefault="00C06DE1" w:rsidP="00102002">
      <w:pPr>
        <w:spacing w:line="240" w:lineRule="auto"/>
        <w:rPr>
          <w:rFonts w:ascii="宋体" w:eastAsia="宋体" w:hAnsi="宋体"/>
          <w:color w:val="000000"/>
          <w:sz w:val="24"/>
          <w:szCs w:val="24"/>
        </w:rPr>
      </w:pPr>
    </w:p>
    <w:p w:rsidR="00C06DE1" w:rsidRPr="00AF6169" w:rsidRDefault="00C06DE1" w:rsidP="00381A3F">
      <w:pPr>
        <w:pStyle w:val="2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6169">
        <w:rPr>
          <w:rFonts w:ascii="宋体" w:eastAsia="宋体" w:hAnsi="宋体"/>
          <w:color w:val="000000"/>
          <w:sz w:val="24"/>
          <w:szCs w:val="24"/>
        </w:rPr>
        <w:t>1 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3828"/>
        <w:gridCol w:w="3390"/>
      </w:tblGrid>
      <w:tr w:rsidR="00D417E0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D417E0" w:rsidRPr="00AF6169" w:rsidRDefault="00D417E0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390" w:type="dxa"/>
            <w:vAlign w:val="center"/>
          </w:tcPr>
          <w:p w:rsidR="00D417E0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国投瑞银精选收益灵活配置混合型证券投资基金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国投瑞银精选收益混合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8D2D8C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magent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001218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5718" w:type="dxa"/>
            <w:gridSpan w:val="2"/>
            <w:vAlign w:val="center"/>
          </w:tcPr>
          <w:p w:rsidR="00F21005" w:rsidRPr="00AF6169" w:rsidRDefault="00F21005" w:rsidP="009D3E3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390" w:type="dxa"/>
            <w:vAlign w:val="center"/>
          </w:tcPr>
          <w:p w:rsidR="00F21005" w:rsidRPr="00AF6169" w:rsidRDefault="009D3E3D" w:rsidP="00467383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67383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B9732B">
              <w:rPr>
                <w:rFonts w:ascii="宋体" w:eastAsia="宋体" w:hAnsi="宋体"/>
                <w:color w:val="000000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7D436A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2021年10月21日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DB607B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2021年10月21日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DB607B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2021年10月21日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B1343D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限制申购金额（单位：</w:t>
            </w:r>
            <w:r w:rsidR="002E7C2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  <w:r w:rsidR="00F21005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B1343D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限制转换入金额（单位：</w:t>
            </w:r>
            <w:r w:rsidR="002E7C2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</w:t>
            </w:r>
            <w:r w:rsidR="00F21005"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限制定期定额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投资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金额（单位：万元）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FB4DE4">
            <w:pPr>
              <w:spacing w:line="240" w:lineRule="auto"/>
              <w:jc w:val="both"/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500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暂停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AF616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 w:val="restart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F94D95">
              <w:rPr>
                <w:rFonts w:ascii="宋体" w:eastAsia="宋体" w:hAnsi="宋体"/>
                <w:color w:val="000000"/>
                <w:sz w:val="21"/>
                <w:szCs w:val="21"/>
              </w:rPr>
              <w:t>恢复相关业务的日期及原因说明</w:t>
            </w: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2021年10月27日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转换转入起始日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2021年10月27日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AF616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AF6169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定期定额投资起始日</w:t>
            </w:r>
          </w:p>
        </w:tc>
        <w:tc>
          <w:tcPr>
            <w:tcW w:w="3390" w:type="dxa"/>
            <w:vAlign w:val="center"/>
          </w:tcPr>
          <w:p w:rsidR="00F21005" w:rsidRPr="000E5D8B" w:rsidRDefault="00247A85" w:rsidP="00B74AB0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2021年10月27日</w:t>
            </w:r>
          </w:p>
        </w:tc>
      </w:tr>
      <w:tr w:rsidR="00F21005" w:rsidRPr="00AF6169" w:rsidTr="00F8751A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F21005" w:rsidRPr="00AF6169" w:rsidRDefault="00F21005" w:rsidP="00FB4DE4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D43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大额</w:t>
            </w:r>
            <w:r w:rsidRPr="00D43567">
              <w:rPr>
                <w:rFonts w:ascii="宋体" w:eastAsia="宋体" w:hAnsi="宋体"/>
                <w:color w:val="000000"/>
                <w:sz w:val="21"/>
                <w:szCs w:val="21"/>
              </w:rPr>
              <w:t>申购（转换转入、定期定额投资）的原因说明</w:t>
            </w:r>
          </w:p>
        </w:tc>
        <w:tc>
          <w:tcPr>
            <w:tcW w:w="3390" w:type="dxa"/>
            <w:vAlign w:val="center"/>
          </w:tcPr>
          <w:p w:rsidR="00F21005" w:rsidRPr="00AF6169" w:rsidRDefault="00F21005" w:rsidP="00074CCD">
            <w:pPr>
              <w:spacing w:line="240" w:lineRule="auto"/>
              <w:jc w:val="both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</w:t>
            </w:r>
            <w:r w:rsidRPr="00E740B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保护</w:t>
            </w:r>
            <w:r w:rsidRPr="00E740B9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基金份额持有人利益</w:t>
            </w:r>
          </w:p>
        </w:tc>
      </w:tr>
    </w:tbl>
    <w:p w:rsidR="00C06DE1" w:rsidRPr="00AF6169" w:rsidRDefault="00C06DE1" w:rsidP="00CA66A1">
      <w:pPr>
        <w:pStyle w:val="2"/>
        <w:adjustRightInd w:val="0"/>
        <w:snapToGrid w:val="0"/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6169">
        <w:rPr>
          <w:rFonts w:ascii="宋体" w:eastAsia="宋体" w:hAnsi="宋体"/>
          <w:color w:val="000000"/>
          <w:sz w:val="24"/>
          <w:szCs w:val="24"/>
        </w:rPr>
        <w:lastRenderedPageBreak/>
        <w:t>2 其他需要提示的事项</w:t>
      </w:r>
      <w:bookmarkEnd w:id="2"/>
    </w:p>
    <w:p w:rsidR="00B91B2A" w:rsidRDefault="00C15BD2" w:rsidP="00B91B2A">
      <w:pPr>
        <w:adjustRightInd w:val="0"/>
        <w:snapToGrid w:val="0"/>
        <w:rPr>
          <w:rFonts w:ascii="宋体" w:eastAsia="宋体" w:hAnsi="宋体" w:hint="eastAsia"/>
          <w:color w:val="000000"/>
          <w:sz w:val="24"/>
          <w:szCs w:val="24"/>
        </w:rPr>
      </w:pPr>
      <w:r w:rsidRPr="00AF6169">
        <w:rPr>
          <w:rFonts w:ascii="宋体" w:eastAsia="宋体" w:hAnsi="宋体"/>
          <w:color w:val="000000"/>
          <w:sz w:val="24"/>
          <w:szCs w:val="24"/>
        </w:rPr>
        <w:t>（1）</w:t>
      </w:r>
      <w:r w:rsidR="006C57E0" w:rsidRPr="00AF6169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E02BE3" w:rsidRPr="00AF6169">
        <w:rPr>
          <w:rFonts w:ascii="宋体" w:eastAsia="宋体" w:hAnsi="宋体" w:hint="eastAsia"/>
          <w:color w:val="000000"/>
          <w:sz w:val="24"/>
          <w:szCs w:val="24"/>
        </w:rPr>
        <w:t>于</w:t>
      </w:r>
      <w:r w:rsidR="00247A85" w:rsidRPr="00F81162">
        <w:rPr>
          <w:rFonts w:ascii="宋体" w:eastAsia="宋体" w:hAnsi="宋体" w:hint="eastAsia"/>
          <w:color w:val="000000"/>
          <w:sz w:val="24"/>
          <w:szCs w:val="24"/>
        </w:rPr>
        <w:t>2021年10月21日至10月26日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暂停大额申购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（转换转入、定期定额投资）</w:t>
      </w:r>
      <w:r w:rsidR="00AB1B3A" w:rsidRPr="00AF6169">
        <w:rPr>
          <w:rFonts w:ascii="宋体" w:eastAsia="宋体" w:hAnsi="宋体" w:hint="eastAsia"/>
          <w:color w:val="000000"/>
          <w:sz w:val="24"/>
          <w:szCs w:val="24"/>
        </w:rPr>
        <w:t>期间</w:t>
      </w:r>
      <w:r w:rsidR="009415EB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单个</w:t>
      </w:r>
      <w:r w:rsidR="0075341A">
        <w:rPr>
          <w:rFonts w:ascii="宋体" w:eastAsia="宋体" w:hAnsi="宋体" w:hint="eastAsia"/>
          <w:color w:val="000000"/>
          <w:sz w:val="24"/>
          <w:szCs w:val="24"/>
        </w:rPr>
        <w:t>基金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账户</w:t>
      </w:r>
      <w:r w:rsidR="00A24DFD" w:rsidRPr="00AF6169">
        <w:rPr>
          <w:rFonts w:ascii="宋体" w:eastAsia="宋体" w:hAnsi="宋体" w:hint="eastAsia"/>
          <w:color w:val="000000"/>
          <w:sz w:val="24"/>
          <w:szCs w:val="24"/>
        </w:rPr>
        <w:t>每一开放</w:t>
      </w:r>
      <w:r w:rsidR="005D4C04" w:rsidRPr="00AF6169">
        <w:rPr>
          <w:rFonts w:ascii="宋体" w:eastAsia="宋体" w:hAnsi="宋体" w:hint="eastAsia"/>
          <w:color w:val="000000"/>
          <w:sz w:val="24"/>
          <w:szCs w:val="24"/>
        </w:rPr>
        <w:t>日申购、转换转入、定期定额投资累计不得超过</w:t>
      </w:r>
      <w:r w:rsidR="00247A85" w:rsidRPr="00F81162">
        <w:rPr>
          <w:rFonts w:ascii="宋体" w:eastAsia="宋体" w:hAnsi="宋体" w:hint="eastAsia"/>
          <w:color w:val="000000"/>
          <w:sz w:val="24"/>
          <w:szCs w:val="24"/>
        </w:rPr>
        <w:t>500</w:t>
      </w:r>
      <w:r w:rsidR="002E7C28">
        <w:rPr>
          <w:rFonts w:ascii="宋体" w:eastAsia="宋体" w:hAnsi="宋体" w:hint="eastAsia"/>
          <w:color w:val="000000"/>
          <w:sz w:val="24"/>
          <w:szCs w:val="24"/>
        </w:rPr>
        <w:t>万</w:t>
      </w:r>
      <w:r w:rsidR="00B45E93" w:rsidRPr="00AF6169">
        <w:rPr>
          <w:rFonts w:ascii="宋体" w:eastAsia="宋体" w:hAnsi="宋体" w:hint="eastAsia"/>
          <w:color w:val="000000"/>
          <w:sz w:val="24"/>
          <w:szCs w:val="24"/>
        </w:rPr>
        <w:t>元</w:t>
      </w:r>
      <w:r w:rsidRPr="00AF6169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C06DE1" w:rsidRPr="00B91B2A" w:rsidRDefault="00C15BD2" w:rsidP="00B91B2A">
      <w:pPr>
        <w:adjustRightInd w:val="0"/>
        <w:snapToGrid w:val="0"/>
        <w:rPr>
          <w:rFonts w:ascii="宋体" w:eastAsia="宋体" w:hAnsi="宋体" w:hint="eastAsia"/>
          <w:kern w:val="0"/>
          <w:sz w:val="24"/>
          <w:szCs w:val="24"/>
        </w:rPr>
      </w:pPr>
      <w:r w:rsidRPr="00B91B2A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="00F94D95" w:rsidRPr="00B91B2A"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）敬请投资者做好交易安排。详情请登录本公司网站（</w:t>
      </w:r>
      <w:r w:rsidRPr="00B91B2A">
        <w:rPr>
          <w:rFonts w:ascii="宋体" w:eastAsia="宋体" w:hAnsi="宋体"/>
          <w:color w:val="000000"/>
          <w:sz w:val="24"/>
          <w:szCs w:val="24"/>
        </w:rPr>
        <w:t>www.ubssdic.com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）或拨打本公司客服电话（</w:t>
      </w:r>
      <w:r w:rsidRPr="00B91B2A">
        <w:rPr>
          <w:rFonts w:ascii="宋体" w:eastAsia="宋体" w:hAnsi="宋体"/>
          <w:color w:val="000000"/>
          <w:sz w:val="24"/>
          <w:szCs w:val="24"/>
        </w:rPr>
        <w:t>400-880-6868</w:t>
      </w:r>
      <w:r w:rsidR="00057C36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057C36">
        <w:rPr>
          <w:rFonts w:ascii="宋体" w:eastAsia="宋体" w:hAnsi="宋体" w:hint="eastAsia"/>
          <w:color w:val="000000"/>
          <w:kern w:val="0"/>
          <w:sz w:val="24"/>
          <w:szCs w:val="24"/>
        </w:rPr>
        <w:t>0755-83160000</w:t>
      </w:r>
      <w:r w:rsidRPr="00B91B2A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sectPr w:rsidR="00C06DE1" w:rsidRPr="00B91B2A">
      <w:footerReference w:type="default" r:id="rId7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8C" w:rsidRDefault="00DB538C">
      <w:r>
        <w:separator/>
      </w:r>
    </w:p>
  </w:endnote>
  <w:endnote w:type="continuationSeparator" w:id="0">
    <w:p w:rsidR="00DB538C" w:rsidRDefault="00DB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8C" w:rsidRDefault="00DB538C">
      <w:r>
        <w:separator/>
      </w:r>
    </w:p>
  </w:footnote>
  <w:footnote w:type="continuationSeparator" w:id="0">
    <w:p w:rsidR="00DB538C" w:rsidRDefault="00DB5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F6D"/>
    <w:rsid w:val="00041181"/>
    <w:rsid w:val="00051EF1"/>
    <w:rsid w:val="00057C36"/>
    <w:rsid w:val="000664FC"/>
    <w:rsid w:val="00074CCD"/>
    <w:rsid w:val="0007756B"/>
    <w:rsid w:val="000910BE"/>
    <w:rsid w:val="00094904"/>
    <w:rsid w:val="0009595E"/>
    <w:rsid w:val="00096A6E"/>
    <w:rsid w:val="000A79BA"/>
    <w:rsid w:val="000C61A4"/>
    <w:rsid w:val="000E5D8B"/>
    <w:rsid w:val="000F39AA"/>
    <w:rsid w:val="00102002"/>
    <w:rsid w:val="0013153B"/>
    <w:rsid w:val="00163472"/>
    <w:rsid w:val="0018155D"/>
    <w:rsid w:val="00181BD4"/>
    <w:rsid w:val="00196B72"/>
    <w:rsid w:val="001A55C9"/>
    <w:rsid w:val="001B0379"/>
    <w:rsid w:val="001C2826"/>
    <w:rsid w:val="002061AA"/>
    <w:rsid w:val="002075C3"/>
    <w:rsid w:val="0021442B"/>
    <w:rsid w:val="00220F2F"/>
    <w:rsid w:val="00247A85"/>
    <w:rsid w:val="002657F6"/>
    <w:rsid w:val="00266855"/>
    <w:rsid w:val="00273F63"/>
    <w:rsid w:val="002B4381"/>
    <w:rsid w:val="002B438D"/>
    <w:rsid w:val="002B538E"/>
    <w:rsid w:val="002D0A48"/>
    <w:rsid w:val="002D4EC2"/>
    <w:rsid w:val="002D5F87"/>
    <w:rsid w:val="002E2F50"/>
    <w:rsid w:val="002E7C28"/>
    <w:rsid w:val="002F3993"/>
    <w:rsid w:val="00313DE5"/>
    <w:rsid w:val="00324214"/>
    <w:rsid w:val="003300F3"/>
    <w:rsid w:val="0034336D"/>
    <w:rsid w:val="00381A3F"/>
    <w:rsid w:val="00391AA8"/>
    <w:rsid w:val="00391DA4"/>
    <w:rsid w:val="00391DC4"/>
    <w:rsid w:val="003A0FFE"/>
    <w:rsid w:val="003A69AC"/>
    <w:rsid w:val="003B6185"/>
    <w:rsid w:val="003C3709"/>
    <w:rsid w:val="003D33D8"/>
    <w:rsid w:val="003D5C2F"/>
    <w:rsid w:val="003E4357"/>
    <w:rsid w:val="003E640F"/>
    <w:rsid w:val="0040591D"/>
    <w:rsid w:val="00420555"/>
    <w:rsid w:val="00467383"/>
    <w:rsid w:val="00472E80"/>
    <w:rsid w:val="004A18B3"/>
    <w:rsid w:val="004A7A50"/>
    <w:rsid w:val="004D090F"/>
    <w:rsid w:val="004D5B86"/>
    <w:rsid w:val="00511515"/>
    <w:rsid w:val="00526DB9"/>
    <w:rsid w:val="00541214"/>
    <w:rsid w:val="00543306"/>
    <w:rsid w:val="0055680D"/>
    <w:rsid w:val="00563791"/>
    <w:rsid w:val="00572AE9"/>
    <w:rsid w:val="00590E2D"/>
    <w:rsid w:val="00596C8D"/>
    <w:rsid w:val="005A183D"/>
    <w:rsid w:val="005A3049"/>
    <w:rsid w:val="005B6188"/>
    <w:rsid w:val="005D4C04"/>
    <w:rsid w:val="005F539B"/>
    <w:rsid w:val="0061035D"/>
    <w:rsid w:val="00611A9A"/>
    <w:rsid w:val="00612265"/>
    <w:rsid w:val="006325A4"/>
    <w:rsid w:val="00640244"/>
    <w:rsid w:val="00650335"/>
    <w:rsid w:val="0067492D"/>
    <w:rsid w:val="00691977"/>
    <w:rsid w:val="00691A0A"/>
    <w:rsid w:val="006A0A06"/>
    <w:rsid w:val="006B67ED"/>
    <w:rsid w:val="006C57E0"/>
    <w:rsid w:val="006D376E"/>
    <w:rsid w:val="00701FB6"/>
    <w:rsid w:val="0071632F"/>
    <w:rsid w:val="00740FCB"/>
    <w:rsid w:val="0075341A"/>
    <w:rsid w:val="00774C3F"/>
    <w:rsid w:val="00782FC5"/>
    <w:rsid w:val="00786EBD"/>
    <w:rsid w:val="007938D0"/>
    <w:rsid w:val="007D2AA5"/>
    <w:rsid w:val="007D3DCE"/>
    <w:rsid w:val="007D436A"/>
    <w:rsid w:val="007E095E"/>
    <w:rsid w:val="007F05B4"/>
    <w:rsid w:val="007F379E"/>
    <w:rsid w:val="008020E9"/>
    <w:rsid w:val="008041E7"/>
    <w:rsid w:val="00804417"/>
    <w:rsid w:val="008228EA"/>
    <w:rsid w:val="0082294C"/>
    <w:rsid w:val="00830785"/>
    <w:rsid w:val="00837DE8"/>
    <w:rsid w:val="00880B6E"/>
    <w:rsid w:val="008D2D8C"/>
    <w:rsid w:val="008E3786"/>
    <w:rsid w:val="008E4FA4"/>
    <w:rsid w:val="008F181F"/>
    <w:rsid w:val="008F7282"/>
    <w:rsid w:val="009271DA"/>
    <w:rsid w:val="009415EB"/>
    <w:rsid w:val="00941BAE"/>
    <w:rsid w:val="00963702"/>
    <w:rsid w:val="009750FE"/>
    <w:rsid w:val="00984031"/>
    <w:rsid w:val="009A1388"/>
    <w:rsid w:val="009D3E3D"/>
    <w:rsid w:val="009D7A8D"/>
    <w:rsid w:val="009E53F3"/>
    <w:rsid w:val="00A14D01"/>
    <w:rsid w:val="00A21134"/>
    <w:rsid w:val="00A2228F"/>
    <w:rsid w:val="00A24DFD"/>
    <w:rsid w:val="00A43F14"/>
    <w:rsid w:val="00A56FBA"/>
    <w:rsid w:val="00A72B20"/>
    <w:rsid w:val="00A744A9"/>
    <w:rsid w:val="00A86E48"/>
    <w:rsid w:val="00AB1B3A"/>
    <w:rsid w:val="00AC4906"/>
    <w:rsid w:val="00AC6058"/>
    <w:rsid w:val="00AF2018"/>
    <w:rsid w:val="00AF2AFD"/>
    <w:rsid w:val="00AF6169"/>
    <w:rsid w:val="00B1343D"/>
    <w:rsid w:val="00B20116"/>
    <w:rsid w:val="00B26300"/>
    <w:rsid w:val="00B26546"/>
    <w:rsid w:val="00B35C0B"/>
    <w:rsid w:val="00B45E93"/>
    <w:rsid w:val="00B63A05"/>
    <w:rsid w:val="00B65A89"/>
    <w:rsid w:val="00B65EB4"/>
    <w:rsid w:val="00B747B8"/>
    <w:rsid w:val="00B74AB0"/>
    <w:rsid w:val="00B847CF"/>
    <w:rsid w:val="00B91B2A"/>
    <w:rsid w:val="00B9732B"/>
    <w:rsid w:val="00BA4AB4"/>
    <w:rsid w:val="00BA4E75"/>
    <w:rsid w:val="00BC5230"/>
    <w:rsid w:val="00BC7BEB"/>
    <w:rsid w:val="00BE01DC"/>
    <w:rsid w:val="00BE0615"/>
    <w:rsid w:val="00BE32FF"/>
    <w:rsid w:val="00BE7924"/>
    <w:rsid w:val="00BF318E"/>
    <w:rsid w:val="00BF5CAC"/>
    <w:rsid w:val="00C00407"/>
    <w:rsid w:val="00C06DE1"/>
    <w:rsid w:val="00C07ED1"/>
    <w:rsid w:val="00C10861"/>
    <w:rsid w:val="00C138CE"/>
    <w:rsid w:val="00C15BD2"/>
    <w:rsid w:val="00C160FD"/>
    <w:rsid w:val="00C37B77"/>
    <w:rsid w:val="00C46FA4"/>
    <w:rsid w:val="00C475B0"/>
    <w:rsid w:val="00C71636"/>
    <w:rsid w:val="00C74761"/>
    <w:rsid w:val="00CA4D84"/>
    <w:rsid w:val="00CA5B0C"/>
    <w:rsid w:val="00CA66A1"/>
    <w:rsid w:val="00CB0D23"/>
    <w:rsid w:val="00CB6105"/>
    <w:rsid w:val="00CF5E1E"/>
    <w:rsid w:val="00D3406A"/>
    <w:rsid w:val="00D3548E"/>
    <w:rsid w:val="00D417E0"/>
    <w:rsid w:val="00D43567"/>
    <w:rsid w:val="00D60040"/>
    <w:rsid w:val="00D6343D"/>
    <w:rsid w:val="00DB28AD"/>
    <w:rsid w:val="00DB3B4B"/>
    <w:rsid w:val="00DB538C"/>
    <w:rsid w:val="00DB607B"/>
    <w:rsid w:val="00DE51CA"/>
    <w:rsid w:val="00DF428A"/>
    <w:rsid w:val="00E02BE3"/>
    <w:rsid w:val="00E11670"/>
    <w:rsid w:val="00E31DE3"/>
    <w:rsid w:val="00E34A0A"/>
    <w:rsid w:val="00E740B9"/>
    <w:rsid w:val="00E75530"/>
    <w:rsid w:val="00EC310C"/>
    <w:rsid w:val="00EE4BF1"/>
    <w:rsid w:val="00EF0DBB"/>
    <w:rsid w:val="00EF2E58"/>
    <w:rsid w:val="00EF5C30"/>
    <w:rsid w:val="00F03B68"/>
    <w:rsid w:val="00F162A7"/>
    <w:rsid w:val="00F21005"/>
    <w:rsid w:val="00F2688F"/>
    <w:rsid w:val="00F65092"/>
    <w:rsid w:val="00F81162"/>
    <w:rsid w:val="00F85B59"/>
    <w:rsid w:val="00F8751A"/>
    <w:rsid w:val="00F90BC0"/>
    <w:rsid w:val="00F926F1"/>
    <w:rsid w:val="00F94D95"/>
    <w:rsid w:val="00F97BD9"/>
    <w:rsid w:val="00FB4DE4"/>
    <w:rsid w:val="00FC65AD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rPr>
      <w:rFonts w:eastAsia="宋体"/>
      <w:kern w:val="2"/>
      <w:sz w:val="21"/>
      <w:lang w:val="en-US" w:eastAsia="zh-CN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2Char">
    <w:name w:val="标题 2 Char"/>
    <w:rPr>
      <w:rFonts w:ascii="Arial" w:eastAsia="黑体" w:hAnsi="Arial"/>
      <w:b/>
      <w:kern w:val="2"/>
      <w:sz w:val="32"/>
      <w:lang w:val="en-US" w:eastAsia="zh-CN"/>
    </w:rPr>
  </w:style>
  <w:style w:type="character" w:styleId="a6">
    <w:name w:val="page number"/>
    <w:basedOn w:val="a0"/>
  </w:style>
  <w:style w:type="character" w:styleId="a7">
    <w:name w:val="Strong"/>
    <w:qFormat/>
    <w:rPr>
      <w:b/>
    </w:rPr>
  </w:style>
  <w:style w:type="character" w:styleId="a8">
    <w:name w:val="annotation reference"/>
    <w:rPr>
      <w:sz w:val="21"/>
    </w:rPr>
  </w:style>
  <w:style w:type="character" w:customStyle="1" w:styleId="Char0">
    <w:name w:val="正文文本 Char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subject"/>
    <w:basedOn w:val="aa"/>
    <w:next w:val="aa"/>
    <w:rPr>
      <w:b/>
    </w:rPr>
  </w:style>
  <w:style w:type="paragraph" w:styleId="ab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c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d">
    <w:name w:val="附录款(一)"/>
    <w:basedOn w:val="a"/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/>
    </w:pPr>
    <w:rPr>
      <w:rFonts w:eastAsia="宋体"/>
      <w:sz w:val="24"/>
    </w:rPr>
  </w:style>
  <w:style w:type="paragraph" w:styleId="20">
    <w:name w:val="Body Text 2"/>
    <w:basedOn w:val="a"/>
    <w:pPr>
      <w:ind w:firstLine="720"/>
    </w:pPr>
    <w:rPr>
      <w:rFonts w:ascii="仿宋_GB2312" w:eastAsia="仿宋_GB2312"/>
      <w:sz w:val="28"/>
    </w:rPr>
  </w:style>
  <w:style w:type="paragraph" w:styleId="ae">
    <w:name w:val="Plain Text"/>
    <w:basedOn w:val="a"/>
    <w:rPr>
      <w:rFonts w:ascii="宋体" w:eastAsia="宋体" w:hAnsi="Courier New"/>
      <w:sz w:val="21"/>
    </w:rPr>
  </w:style>
  <w:style w:type="paragraph" w:styleId="aa">
    <w:name w:val="annotation text"/>
    <w:basedOn w:val="a"/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0">
    <w:name w:val="正文条"/>
    <w:basedOn w:val="a"/>
    <w:pPr>
      <w:numPr>
        <w:numId w:val="3"/>
      </w:numPr>
      <w:tabs>
        <w:tab w:val="left" w:pos="1440"/>
      </w:tabs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uto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1">
    <w:name w:val="footnote text"/>
    <w:basedOn w:val="a"/>
    <w:pPr>
      <w:snapToGrid w:val="0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2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textAlignment w:val="baseline"/>
    </w:pPr>
  </w:style>
  <w:style w:type="paragraph" w:styleId="af3">
    <w:name w:val="Body Text"/>
    <w:basedOn w:val="a"/>
    <w:pPr>
      <w:spacing w:after="120"/>
    </w:pPr>
  </w:style>
  <w:style w:type="paragraph" w:customStyle="1" w:styleId="Char2">
    <w:name w:val=" Char"/>
    <w:basedOn w:val="a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spacing w:before="100" w:beforeAutospacing="1" w:after="100" w:afterAutospacing="1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</w:pPr>
  </w:style>
  <w:style w:type="paragraph" w:styleId="af7">
    <w:name w:val="Revision"/>
    <w:hidden/>
    <w:semiHidden/>
    <w:pPr>
      <w:spacing w:line="360" w:lineRule="auto"/>
    </w:pPr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106</Words>
  <Characters>608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CSRC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ZHONGM</cp:lastModifiedBy>
  <cp:revision>2</cp:revision>
  <cp:lastPrinted>2010-11-24T09:24:00Z</cp:lastPrinted>
  <dcterms:created xsi:type="dcterms:W3CDTF">2021-10-19T16:01:00Z</dcterms:created>
  <dcterms:modified xsi:type="dcterms:W3CDTF">2021-10-19T16:01:00Z</dcterms:modified>
</cp:coreProperties>
</file>