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8D" w:rsidRDefault="00AF148D" w:rsidP="00AF148D">
      <w:pPr>
        <w:pStyle w:val="Default"/>
      </w:pPr>
      <w:bookmarkStart w:id="0" w:name="_GoBack"/>
      <w:bookmarkEnd w:id="0"/>
    </w:p>
    <w:p w:rsidR="00700065" w:rsidRPr="002352AF" w:rsidRDefault="00AF148D" w:rsidP="002352AF">
      <w:pPr>
        <w:pStyle w:val="Default"/>
        <w:jc w:val="center"/>
        <w:rPr>
          <w:rFonts w:ascii="黑体" w:eastAsia="黑体" w:hAnsi="黑体"/>
          <w:sz w:val="32"/>
          <w:szCs w:val="32"/>
        </w:rPr>
      </w:pPr>
      <w:r w:rsidRPr="00700065">
        <w:rPr>
          <w:rFonts w:ascii="黑体" w:eastAsia="黑体" w:hAnsi="黑体" w:hint="eastAsia"/>
          <w:sz w:val="32"/>
          <w:szCs w:val="32"/>
        </w:rPr>
        <w:t>国投瑞银基金管理有限公司关于</w:t>
      </w:r>
      <w:r w:rsidR="000E2B6B" w:rsidRPr="000E2B6B">
        <w:rPr>
          <w:rFonts w:ascii="黑体" w:eastAsia="黑体" w:hAnsi="黑体" w:hint="eastAsia"/>
          <w:sz w:val="32"/>
          <w:szCs w:val="32"/>
        </w:rPr>
        <w:t>国投瑞银中证下游消费与服务产业指数证券投资基金（LOF）</w:t>
      </w:r>
      <w:r w:rsidR="00700065"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在</w:t>
      </w:r>
      <w:r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直销</w:t>
      </w:r>
      <w:r w:rsidR="00054951"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渠道</w:t>
      </w:r>
      <w:r w:rsidR="00700065"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开展赎回费优惠活动的公告</w:t>
      </w:r>
    </w:p>
    <w:p w:rsidR="00700065" w:rsidRPr="002352AF" w:rsidRDefault="00700065" w:rsidP="00700065">
      <w:pPr>
        <w:pStyle w:val="Defaul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AF148D" w:rsidRPr="00700065" w:rsidRDefault="00AF148D" w:rsidP="00E57A1B">
      <w:pPr>
        <w:pStyle w:val="Default"/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08595C">
        <w:rPr>
          <w:rFonts w:asciiTheme="minorEastAsia" w:eastAsiaTheme="minorEastAsia" w:hAnsiTheme="minorEastAsia" w:hint="eastAsia"/>
          <w:color w:val="000000" w:themeColor="text1"/>
        </w:rPr>
        <w:t>为了更好地满足广大投资者的理财需求，国投瑞银基金管理有限公司（以下简称</w:t>
      </w:r>
      <w:r w:rsidRPr="0008595C">
        <w:rPr>
          <w:rFonts w:asciiTheme="minorEastAsia" w:eastAsiaTheme="minorEastAsia" w:hAnsiTheme="minorEastAsia"/>
          <w:color w:val="000000" w:themeColor="text1"/>
        </w:rPr>
        <w:t>“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本公司</w:t>
      </w:r>
      <w:r w:rsidRPr="0008595C">
        <w:rPr>
          <w:rFonts w:asciiTheme="minorEastAsia" w:eastAsiaTheme="minorEastAsia" w:hAnsiTheme="minorEastAsia"/>
          <w:color w:val="000000" w:themeColor="text1"/>
        </w:rPr>
        <w:t>”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）决定</w:t>
      </w:r>
      <w:r w:rsidRPr="00C90A42">
        <w:rPr>
          <w:rFonts w:asciiTheme="minorEastAsia" w:eastAsiaTheme="minorEastAsia" w:hAnsiTheme="minorEastAsia" w:hint="eastAsia"/>
          <w:color w:val="000000" w:themeColor="text1"/>
        </w:rPr>
        <w:t>自</w:t>
      </w:r>
      <w:r w:rsidR="000E2B6B" w:rsidRPr="00C90A42">
        <w:rPr>
          <w:rFonts w:asciiTheme="minorEastAsia" w:eastAsiaTheme="minorEastAsia" w:hAnsiTheme="minorEastAsia"/>
          <w:color w:val="000000" w:themeColor="text1"/>
        </w:rPr>
        <w:t>202</w:t>
      </w:r>
      <w:r w:rsidR="000E2B6B">
        <w:rPr>
          <w:rFonts w:asciiTheme="minorEastAsia" w:eastAsiaTheme="minorEastAsia" w:hAnsiTheme="minorEastAsia"/>
          <w:color w:val="000000" w:themeColor="text1"/>
        </w:rPr>
        <w:t>1</w:t>
      </w:r>
      <w:r w:rsidR="000E2B6B" w:rsidRPr="00C90A4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E2B6B">
        <w:rPr>
          <w:rFonts w:asciiTheme="minorEastAsia" w:eastAsiaTheme="minorEastAsia" w:hAnsiTheme="minorEastAsia"/>
          <w:color w:val="000000" w:themeColor="text1"/>
        </w:rPr>
        <w:t>10</w:t>
      </w:r>
      <w:r w:rsidRPr="00C90A42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E2B6B">
        <w:rPr>
          <w:rFonts w:asciiTheme="minorEastAsia" w:eastAsiaTheme="minorEastAsia" w:hAnsiTheme="minorEastAsia"/>
          <w:color w:val="000000" w:themeColor="text1"/>
        </w:rPr>
        <w:t>20</w:t>
      </w:r>
      <w:r w:rsidRPr="00C90A42">
        <w:rPr>
          <w:rFonts w:asciiTheme="minorEastAsia" w:eastAsiaTheme="minorEastAsia" w:hAnsiTheme="minorEastAsia" w:hint="eastAsia"/>
          <w:color w:val="000000" w:themeColor="text1"/>
        </w:rPr>
        <w:t>日起对投资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者通过本公司直销柜台</w:t>
      </w:r>
      <w:r w:rsidR="00B85587" w:rsidRPr="0008595C">
        <w:rPr>
          <w:rFonts w:asciiTheme="minorEastAsia" w:eastAsiaTheme="minorEastAsia" w:hAnsiTheme="minorEastAsia" w:hint="eastAsia"/>
          <w:color w:val="000000" w:themeColor="text1"/>
        </w:rPr>
        <w:t>及</w:t>
      </w:r>
      <w:r w:rsidR="00054951" w:rsidRPr="0008595C">
        <w:rPr>
          <w:rFonts w:asciiTheme="minorEastAsia" w:eastAsiaTheme="minorEastAsia" w:hAnsiTheme="minorEastAsia" w:hint="eastAsia"/>
          <w:color w:val="000000" w:themeColor="text1"/>
        </w:rPr>
        <w:t>直销</w:t>
      </w:r>
      <w:r w:rsidR="00B85587" w:rsidRPr="0008595C">
        <w:rPr>
          <w:rFonts w:asciiTheme="minorEastAsia" w:eastAsiaTheme="minorEastAsia" w:hAnsiTheme="minorEastAsia" w:hint="eastAsia"/>
          <w:color w:val="000000" w:themeColor="text1"/>
        </w:rPr>
        <w:t>网上交易</w:t>
      </w:r>
      <w:r w:rsidR="00B21B3C">
        <w:rPr>
          <w:rFonts w:asciiTheme="minorEastAsia" w:eastAsiaTheme="minorEastAsia" w:hAnsiTheme="minorEastAsia" w:hint="eastAsia"/>
          <w:color w:val="000000" w:themeColor="text1"/>
        </w:rPr>
        <w:t>（本公司官网、APP）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办理</w:t>
      </w:r>
      <w:r w:rsidR="000E2B6B" w:rsidRPr="000E2B6B">
        <w:rPr>
          <w:rFonts w:asciiTheme="minorEastAsia" w:hAnsiTheme="minorEastAsia" w:hint="eastAsia"/>
          <w:color w:val="000000" w:themeColor="text1"/>
        </w:rPr>
        <w:t>国投瑞银中证下游消费与服务产业指数证券投资基金（LOF）</w:t>
      </w:r>
      <w:r w:rsidR="007D204F" w:rsidRPr="0008595C">
        <w:rPr>
          <w:rFonts w:asciiTheme="minorEastAsia" w:eastAsiaTheme="minorEastAsia" w:hAnsiTheme="minorEastAsia" w:hint="eastAsia"/>
          <w:color w:val="000000" w:themeColor="text1"/>
        </w:rPr>
        <w:t>赎</w:t>
      </w:r>
      <w:r w:rsidR="00055C5F" w:rsidRPr="0008595C">
        <w:rPr>
          <w:rFonts w:asciiTheme="minorEastAsia" w:eastAsiaTheme="minorEastAsia" w:hAnsiTheme="minorEastAsia" w:hint="eastAsia"/>
          <w:color w:val="000000" w:themeColor="text1"/>
        </w:rPr>
        <w:t>回</w:t>
      </w:r>
      <w:r w:rsidR="007D204F" w:rsidRPr="0008595C">
        <w:rPr>
          <w:rFonts w:asciiTheme="minorEastAsia" w:eastAsiaTheme="minorEastAsia" w:hAnsiTheme="minorEastAsia" w:hint="eastAsia"/>
          <w:color w:val="000000" w:themeColor="text1"/>
        </w:rPr>
        <w:t>业务</w:t>
      </w:r>
      <w:r w:rsidR="00700065" w:rsidRPr="0008595C">
        <w:rPr>
          <w:rFonts w:asciiTheme="minorEastAsia" w:eastAsiaTheme="minorEastAsia" w:hAnsiTheme="minorEastAsia" w:hint="eastAsia"/>
          <w:color w:val="000000" w:themeColor="text1"/>
        </w:rPr>
        <w:t>的相关费率进行优惠，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现将有关事项</w:t>
      </w:r>
      <w:r w:rsidRPr="00700065">
        <w:rPr>
          <w:rFonts w:asciiTheme="minorEastAsia" w:eastAsiaTheme="minorEastAsia" w:hAnsiTheme="minorEastAsia" w:hint="eastAsia"/>
        </w:rPr>
        <w:t>公告如下：</w:t>
      </w:r>
      <w:r w:rsidRPr="00700065">
        <w:rPr>
          <w:rFonts w:asciiTheme="minorEastAsia" w:eastAsiaTheme="minorEastAsia" w:hAnsiTheme="minorEastAsia"/>
        </w:rPr>
        <w:t xml:space="preserve"> </w:t>
      </w:r>
    </w:p>
    <w:p w:rsid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一、适用范围</w:t>
      </w:r>
      <w:r w:rsidRPr="00700065">
        <w:rPr>
          <w:rFonts w:asciiTheme="minorEastAsia" w:eastAsiaTheme="minorEastAsia" w:hAnsiTheme="minorEastAsia"/>
        </w:rPr>
        <w:t xml:space="preserve"> </w:t>
      </w:r>
    </w:p>
    <w:p w:rsidR="00AF148D" w:rsidRPr="00700065" w:rsidRDefault="00AF148D" w:rsidP="00E57A1B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1</w:t>
      </w:r>
      <w:r w:rsidRPr="00700065">
        <w:rPr>
          <w:rFonts w:asciiTheme="minorEastAsia" w:eastAsiaTheme="minorEastAsia" w:hAnsiTheme="minorEastAsia" w:hint="eastAsia"/>
        </w:rPr>
        <w:t>、适用基金</w:t>
      </w:r>
      <w:r w:rsidR="00700065">
        <w:rPr>
          <w:rFonts w:asciiTheme="minorEastAsia" w:eastAsiaTheme="minorEastAsia" w:hAnsiTheme="minorEastAsia" w:hint="eastAsia"/>
        </w:rPr>
        <w:t>：</w:t>
      </w:r>
      <w:r w:rsidR="000E2B6B" w:rsidRPr="000E2B6B">
        <w:rPr>
          <w:rFonts w:asciiTheme="minorEastAsia" w:hAnsiTheme="minorEastAsia" w:hint="eastAsia"/>
        </w:rPr>
        <w:t>国投瑞银中证下游消费与服务产业指数证券投资基金（LOF）</w:t>
      </w:r>
      <w:r w:rsidR="00700065" w:rsidRPr="00700065">
        <w:rPr>
          <w:rFonts w:asciiTheme="minorEastAsia" w:eastAsiaTheme="minorEastAsia" w:hAnsiTheme="minorEastAsia" w:hint="eastAsia"/>
          <w:bCs/>
        </w:rPr>
        <w:t>（基金代码：</w:t>
      </w:r>
      <w:r w:rsidR="000E2B6B" w:rsidRPr="000E2B6B">
        <w:rPr>
          <w:rFonts w:asciiTheme="minorEastAsia" w:eastAsiaTheme="minorEastAsia" w:hAnsiTheme="minorEastAsia"/>
          <w:bCs/>
        </w:rPr>
        <w:t>161213</w:t>
      </w:r>
      <w:r w:rsidR="007D7163">
        <w:rPr>
          <w:rFonts w:asciiTheme="minorEastAsia" w:eastAsiaTheme="minorEastAsia" w:hAnsiTheme="minorEastAsia" w:hint="eastAsia"/>
          <w:bCs/>
        </w:rPr>
        <w:t>，</w:t>
      </w:r>
      <w:r w:rsidR="007D7163">
        <w:rPr>
          <w:rFonts w:asciiTheme="minorEastAsia" w:eastAsiaTheme="minorEastAsia" w:hAnsiTheme="minorEastAsia"/>
          <w:bCs/>
        </w:rPr>
        <w:t>后端代码</w:t>
      </w:r>
      <w:r w:rsidR="007D7163">
        <w:rPr>
          <w:rFonts w:asciiTheme="minorEastAsia" w:eastAsiaTheme="minorEastAsia" w:hAnsiTheme="minorEastAsia" w:hint="eastAsia"/>
          <w:bCs/>
        </w:rPr>
        <w:t>：161215</w:t>
      </w:r>
      <w:r w:rsidR="00700065" w:rsidRPr="00700065">
        <w:rPr>
          <w:rFonts w:asciiTheme="minorEastAsia" w:eastAsiaTheme="minorEastAsia" w:hAnsiTheme="minorEastAsia" w:hint="eastAsia"/>
          <w:bCs/>
        </w:rPr>
        <w:t>）</w:t>
      </w:r>
      <w:r w:rsidRPr="00700065">
        <w:rPr>
          <w:rFonts w:asciiTheme="minorEastAsia" w:eastAsiaTheme="minorEastAsia" w:hAnsiTheme="minorEastAsia" w:hint="eastAsia"/>
        </w:rPr>
        <w:t>。</w:t>
      </w:r>
    </w:p>
    <w:p w:rsidR="00AF148D" w:rsidRPr="00700065" w:rsidRDefault="00AF148D" w:rsidP="007741C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2</w:t>
      </w:r>
      <w:r w:rsidRPr="00700065">
        <w:rPr>
          <w:rFonts w:asciiTheme="minorEastAsia" w:eastAsiaTheme="minorEastAsia" w:hAnsiTheme="minorEastAsia" w:hint="eastAsia"/>
        </w:rPr>
        <w:t>、适用渠道</w:t>
      </w:r>
    </w:p>
    <w:p w:rsidR="00AF148D" w:rsidRDefault="00AF148D" w:rsidP="007741C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5430C9">
        <w:rPr>
          <w:rFonts w:asciiTheme="minorEastAsia" w:eastAsiaTheme="minorEastAsia" w:hAnsiTheme="minorEastAsia" w:hint="eastAsia"/>
          <w:color w:val="000000" w:themeColor="text1"/>
        </w:rPr>
        <w:t>本公司直销柜台</w:t>
      </w:r>
      <w:r w:rsidR="00B85587" w:rsidRPr="005430C9">
        <w:rPr>
          <w:rFonts w:asciiTheme="minorEastAsia" w:eastAsiaTheme="minorEastAsia" w:hAnsiTheme="minorEastAsia" w:hint="eastAsia"/>
          <w:color w:val="000000" w:themeColor="text1"/>
        </w:rPr>
        <w:t>及直销网上交易</w:t>
      </w:r>
      <w:r w:rsidR="00D74733">
        <w:rPr>
          <w:rFonts w:asciiTheme="minorEastAsia" w:eastAsiaTheme="minorEastAsia" w:hAnsiTheme="minorEastAsia" w:hint="eastAsia"/>
          <w:color w:val="000000" w:themeColor="text1"/>
        </w:rPr>
        <w:t>(</w:t>
      </w:r>
      <w:r w:rsidR="004940B5" w:rsidRPr="004940B5">
        <w:rPr>
          <w:rFonts w:asciiTheme="minorEastAsia" w:eastAsiaTheme="minorEastAsia" w:hAnsiTheme="minorEastAsia" w:hint="eastAsia"/>
          <w:color w:val="000000" w:themeColor="text1"/>
        </w:rPr>
        <w:t>本公司官网、APP</w:t>
      </w:r>
      <w:r w:rsidR="004940B5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700065">
        <w:rPr>
          <w:rFonts w:asciiTheme="minorEastAsia" w:eastAsiaTheme="minorEastAsia" w:hAnsiTheme="minorEastAsia" w:hint="eastAsia"/>
        </w:rPr>
        <w:t>。</w:t>
      </w:r>
    </w:p>
    <w:p w:rsidR="00700065" w:rsidRDefault="00700065" w:rsidP="007741C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3、费率优惠的内容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3544"/>
      </w:tblGrid>
      <w:tr w:rsidR="0090439A" w:rsidRPr="00726811" w:rsidTr="005513FD">
        <w:tc>
          <w:tcPr>
            <w:tcW w:w="2518" w:type="dxa"/>
            <w:shd w:val="clear" w:color="auto" w:fill="auto"/>
          </w:tcPr>
          <w:p w:rsidR="0090439A" w:rsidRPr="00726811" w:rsidRDefault="007B68C0" w:rsidP="00687687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68C0">
              <w:rPr>
                <w:rFonts w:asciiTheme="minorEastAsia" w:hAnsiTheme="minorEastAsia" w:hint="eastAsia"/>
                <w:sz w:val="21"/>
                <w:szCs w:val="21"/>
              </w:rPr>
              <w:t>持有时间</w:t>
            </w:r>
            <w:r w:rsidR="0090439A" w:rsidRPr="00726811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90439A" w:rsidRPr="00726811">
              <w:rPr>
                <w:rFonts w:asciiTheme="minorEastAsia" w:hAnsiTheme="minorEastAsia"/>
                <w:b/>
                <w:bCs/>
                <w:sz w:val="21"/>
                <w:szCs w:val="21"/>
              </w:rPr>
              <w:t>Y</w:t>
            </w:r>
            <w:r w:rsidR="0090439A" w:rsidRPr="00726811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268" w:type="dxa"/>
            <w:shd w:val="clear" w:color="auto" w:fill="auto"/>
          </w:tcPr>
          <w:p w:rsidR="0090439A" w:rsidRPr="00726811" w:rsidRDefault="0090439A" w:rsidP="00687687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原赎回费率</w:t>
            </w:r>
          </w:p>
        </w:tc>
        <w:tc>
          <w:tcPr>
            <w:tcW w:w="3544" w:type="dxa"/>
          </w:tcPr>
          <w:p w:rsidR="0090439A" w:rsidRPr="00726811" w:rsidRDefault="0090439A" w:rsidP="00687687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优惠</w:t>
            </w:r>
            <w:r w:rsidR="00972E76" w:rsidRPr="00726811">
              <w:rPr>
                <w:rFonts w:asciiTheme="minorEastAsia" w:hAnsiTheme="minorEastAsia" w:hint="eastAsia"/>
                <w:sz w:val="21"/>
                <w:szCs w:val="21"/>
              </w:rPr>
              <w:t>后</w:t>
            </w: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赎回费率</w:t>
            </w:r>
          </w:p>
        </w:tc>
      </w:tr>
      <w:tr w:rsidR="00E57A1B" w:rsidRPr="00726811" w:rsidTr="005513FD">
        <w:tc>
          <w:tcPr>
            <w:tcW w:w="2518" w:type="dxa"/>
            <w:shd w:val="clear" w:color="auto" w:fill="auto"/>
            <w:vAlign w:val="center"/>
          </w:tcPr>
          <w:p w:rsidR="00E57A1B" w:rsidRPr="00726811" w:rsidRDefault="00DB6A57" w:rsidP="00687687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Y</w:t>
            </w:r>
            <w:r w:rsidR="00726811" w:rsidRPr="00726811">
              <w:rPr>
                <w:rFonts w:asciiTheme="minorEastAsia" w:hAnsiTheme="minorEastAsia"/>
                <w:sz w:val="21"/>
                <w:szCs w:val="21"/>
              </w:rPr>
              <w:t>＜</w:t>
            </w:r>
            <w:r w:rsidR="00E57A1B" w:rsidRPr="00726811">
              <w:rPr>
                <w:rFonts w:asciiTheme="minorEastAsia" w:hAnsiTheme="minorEastAsia" w:hint="eastAsia"/>
                <w:sz w:val="21"/>
                <w:szCs w:val="21"/>
              </w:rPr>
              <w:t>7</w:t>
            </w: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A1B" w:rsidRPr="00726811" w:rsidRDefault="00E57A1B" w:rsidP="00687687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1.50%</w:t>
            </w:r>
          </w:p>
        </w:tc>
        <w:tc>
          <w:tcPr>
            <w:tcW w:w="3544" w:type="dxa"/>
          </w:tcPr>
          <w:p w:rsidR="00E57A1B" w:rsidRPr="005430C9" w:rsidRDefault="00B85587" w:rsidP="00687687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1.50%</w:t>
            </w:r>
          </w:p>
        </w:tc>
      </w:tr>
      <w:tr w:rsidR="00E57A1B" w:rsidRPr="00726811" w:rsidTr="005513FD">
        <w:tc>
          <w:tcPr>
            <w:tcW w:w="2518" w:type="dxa"/>
            <w:shd w:val="clear" w:color="auto" w:fill="auto"/>
            <w:vAlign w:val="center"/>
          </w:tcPr>
          <w:p w:rsidR="00E57A1B" w:rsidRPr="00726811" w:rsidRDefault="00E57A1B" w:rsidP="007B68C0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7天≤</w:t>
            </w:r>
            <w:r w:rsidR="00DB6A57" w:rsidRPr="00726811">
              <w:rPr>
                <w:rFonts w:asciiTheme="minorEastAsia" w:hAnsiTheme="minorEastAsia" w:hint="eastAsia"/>
                <w:sz w:val="21"/>
                <w:szCs w:val="21"/>
              </w:rPr>
              <w:t>Y</w:t>
            </w:r>
            <w:r w:rsidR="00726811" w:rsidRPr="00726811">
              <w:rPr>
                <w:rFonts w:asciiTheme="minorEastAsia" w:hAnsiTheme="minorEastAsia"/>
                <w:sz w:val="21"/>
                <w:szCs w:val="21"/>
              </w:rPr>
              <w:t>＜</w:t>
            </w:r>
            <w:r w:rsidR="007B68C0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7B68C0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A1B" w:rsidRPr="00726811" w:rsidRDefault="007B68C0" w:rsidP="000E2B6B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68C0">
              <w:rPr>
                <w:rFonts w:asciiTheme="minorEastAsia" w:hAnsiTheme="minorEastAsia"/>
                <w:sz w:val="21"/>
                <w:szCs w:val="21"/>
              </w:rPr>
              <w:t>0.</w:t>
            </w:r>
            <w:r w:rsidR="000E2B6B">
              <w:rPr>
                <w:rFonts w:asciiTheme="minorEastAsia" w:hAnsiTheme="minorEastAsia"/>
                <w:sz w:val="21"/>
                <w:szCs w:val="21"/>
              </w:rPr>
              <w:t>50</w:t>
            </w:r>
            <w:r w:rsidRPr="007B68C0">
              <w:rPr>
                <w:rFonts w:asciiTheme="minorEastAsia" w:hAnsiTheme="minorEastAsia"/>
                <w:sz w:val="21"/>
                <w:szCs w:val="21"/>
              </w:rPr>
              <w:t>%</w:t>
            </w:r>
          </w:p>
        </w:tc>
        <w:tc>
          <w:tcPr>
            <w:tcW w:w="3544" w:type="dxa"/>
          </w:tcPr>
          <w:p w:rsidR="00E57A1B" w:rsidRPr="005430C9" w:rsidRDefault="00054951" w:rsidP="000E2B6B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0.</w:t>
            </w:r>
            <w:r w:rsidR="000E2B6B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  <w:r w:rsidR="000E2B6B" w:rsidRPr="005430C9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  <w:r w:rsidR="000E2B6B"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</w:t>
            </w:r>
            <w:r w:rsidR="00B85587"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%</w:t>
            </w:r>
          </w:p>
        </w:tc>
      </w:tr>
      <w:tr w:rsidR="000E2B6B" w:rsidRPr="00726811" w:rsidTr="005513FD">
        <w:tc>
          <w:tcPr>
            <w:tcW w:w="2518" w:type="dxa"/>
            <w:shd w:val="clear" w:color="auto" w:fill="auto"/>
            <w:vAlign w:val="center"/>
          </w:tcPr>
          <w:p w:rsidR="000E2B6B" w:rsidRDefault="000E2B6B" w:rsidP="000E2B6B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2B6B">
              <w:rPr>
                <w:rFonts w:asciiTheme="minorEastAsia" w:hAnsiTheme="minorEastAsia" w:hint="eastAsia"/>
                <w:sz w:val="21"/>
                <w:szCs w:val="21"/>
              </w:rPr>
              <w:t>1年≤</w:t>
            </w:r>
            <w:r>
              <w:rPr>
                <w:rFonts w:asciiTheme="minorEastAsia" w:hAnsiTheme="minorEastAsia"/>
                <w:sz w:val="21"/>
                <w:szCs w:val="21"/>
              </w:rPr>
              <w:t>Y</w:t>
            </w:r>
            <w:r w:rsidR="002352AF">
              <w:rPr>
                <w:rFonts w:asciiTheme="minorEastAsia" w:hAnsiTheme="minorEastAsia" w:hint="eastAsia"/>
                <w:sz w:val="21"/>
                <w:szCs w:val="21"/>
              </w:rPr>
              <w:t>&lt;</w:t>
            </w:r>
            <w:r w:rsidRPr="000E2B6B">
              <w:rPr>
                <w:rFonts w:asciiTheme="minorEastAsia" w:hAnsiTheme="minorEastAsia" w:hint="eastAsia"/>
                <w:sz w:val="21"/>
                <w:szCs w:val="21"/>
              </w:rPr>
              <w:t>2年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2B6B" w:rsidRPr="00726811" w:rsidRDefault="000E2B6B" w:rsidP="00687687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hAnsiTheme="minorEastAsia"/>
                <w:sz w:val="21"/>
                <w:szCs w:val="21"/>
              </w:rPr>
              <w:t>.25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%</w:t>
            </w:r>
          </w:p>
        </w:tc>
        <w:tc>
          <w:tcPr>
            <w:tcW w:w="3544" w:type="dxa"/>
          </w:tcPr>
          <w:p w:rsidR="000E2B6B" w:rsidRPr="005430C9" w:rsidRDefault="000E2B6B" w:rsidP="00687687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.0625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%</w:t>
            </w:r>
          </w:p>
        </w:tc>
      </w:tr>
      <w:tr w:rsidR="00E57A1B" w:rsidRPr="00726811" w:rsidTr="005513FD">
        <w:tc>
          <w:tcPr>
            <w:tcW w:w="2518" w:type="dxa"/>
            <w:shd w:val="clear" w:color="auto" w:fill="auto"/>
            <w:vAlign w:val="center"/>
          </w:tcPr>
          <w:p w:rsidR="00E57A1B" w:rsidRPr="00726811" w:rsidRDefault="000E2B6B" w:rsidP="007B68C0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  <w:r w:rsidR="007B68C0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="007B68C0" w:rsidRPr="00726811">
              <w:rPr>
                <w:rFonts w:asciiTheme="minorEastAsia" w:hAnsiTheme="minorEastAsia" w:hint="eastAsia"/>
                <w:sz w:val="21"/>
                <w:szCs w:val="21"/>
              </w:rPr>
              <w:t>≤</w:t>
            </w:r>
            <w:r w:rsidR="007B68C0">
              <w:rPr>
                <w:rFonts w:asciiTheme="minorEastAsia" w:hAnsiTheme="minorEastAsia"/>
                <w:sz w:val="21"/>
                <w:szCs w:val="21"/>
              </w:rPr>
              <w:t>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A1B" w:rsidRPr="00726811" w:rsidRDefault="00E57A1B" w:rsidP="00687687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0</w:t>
            </w:r>
            <w:r w:rsidR="002352AF">
              <w:rPr>
                <w:rFonts w:asciiTheme="minorEastAsia" w:hAnsiTheme="minorEastAsia"/>
                <w:sz w:val="21"/>
                <w:szCs w:val="21"/>
              </w:rPr>
              <w:t>%</w:t>
            </w:r>
          </w:p>
        </w:tc>
        <w:tc>
          <w:tcPr>
            <w:tcW w:w="3544" w:type="dxa"/>
          </w:tcPr>
          <w:p w:rsidR="00E57A1B" w:rsidRPr="005430C9" w:rsidRDefault="003063A9" w:rsidP="00687687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  <w:r w:rsidR="002352AF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%</w:t>
            </w:r>
          </w:p>
        </w:tc>
      </w:tr>
    </w:tbl>
    <w:p w:rsidR="00792010" w:rsidRDefault="00792010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92010">
        <w:rPr>
          <w:rFonts w:asciiTheme="minorEastAsia" w:eastAsiaTheme="minorEastAsia" w:hAnsiTheme="minorEastAsia" w:hint="eastAsia"/>
        </w:rPr>
        <w:t>费率优惠后收取的赎回费将全额归入基金资产。</w:t>
      </w:r>
    </w:p>
    <w:p w:rsidR="00AF148D" w:rsidRPr="00700065" w:rsidRDefault="00700065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AF148D" w:rsidRPr="00700065">
        <w:rPr>
          <w:rFonts w:asciiTheme="minorEastAsia" w:eastAsiaTheme="minorEastAsia" w:hAnsiTheme="minorEastAsia" w:hint="eastAsia"/>
        </w:rPr>
        <w:t>、费率优惠活动时间</w:t>
      </w:r>
    </w:p>
    <w:p w:rsidR="00AF148D" w:rsidRPr="00700065" w:rsidRDefault="000E2B6B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C90A42">
        <w:rPr>
          <w:rFonts w:asciiTheme="minorEastAsia" w:eastAsiaTheme="minorEastAsia" w:hAnsiTheme="minorEastAsia"/>
        </w:rPr>
        <w:t>202</w:t>
      </w:r>
      <w:r>
        <w:rPr>
          <w:rFonts w:asciiTheme="minorEastAsia" w:eastAsiaTheme="minorEastAsia" w:hAnsiTheme="minorEastAsia"/>
        </w:rPr>
        <w:t>1</w:t>
      </w:r>
      <w:r w:rsidRPr="00C90A42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10</w:t>
      </w:r>
      <w:r w:rsidR="00AF148D" w:rsidRPr="00C90A42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20</w:t>
      </w:r>
      <w:r w:rsidR="00AF148D" w:rsidRPr="00C90A42">
        <w:rPr>
          <w:rFonts w:asciiTheme="minorEastAsia" w:eastAsiaTheme="minorEastAsia" w:hAnsiTheme="minorEastAsia" w:hint="eastAsia"/>
        </w:rPr>
        <w:t>日</w:t>
      </w:r>
      <w:r w:rsidR="008B3A80" w:rsidRPr="00C90A42">
        <w:rPr>
          <w:rFonts w:asciiTheme="minorEastAsia" w:eastAsiaTheme="minorEastAsia" w:hAnsiTheme="minorEastAsia" w:hint="eastAsia"/>
        </w:rPr>
        <w:t>至</w:t>
      </w:r>
      <w:r w:rsidRPr="00C90A42">
        <w:rPr>
          <w:rFonts w:asciiTheme="minorEastAsia" w:eastAsiaTheme="minorEastAsia" w:hAnsiTheme="minorEastAsia"/>
        </w:rPr>
        <w:t>202</w:t>
      </w:r>
      <w:r>
        <w:rPr>
          <w:rFonts w:asciiTheme="minorEastAsia" w:eastAsiaTheme="minorEastAsia" w:hAnsiTheme="minorEastAsia"/>
        </w:rPr>
        <w:t>1</w:t>
      </w:r>
      <w:r w:rsidRPr="00C90A42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>12</w:t>
      </w:r>
      <w:r w:rsidR="008B3A80" w:rsidRPr="00C90A42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7</w:t>
      </w:r>
      <w:r w:rsidR="008B3A80" w:rsidRPr="00C90A42">
        <w:rPr>
          <w:rFonts w:asciiTheme="minorEastAsia" w:eastAsiaTheme="minorEastAsia" w:hAnsiTheme="minorEastAsia" w:hint="eastAsia"/>
        </w:rPr>
        <w:t>日</w:t>
      </w:r>
      <w:r w:rsidR="002821D2" w:rsidRPr="00C90A42">
        <w:rPr>
          <w:rFonts w:asciiTheme="minorEastAsia" w:eastAsiaTheme="minorEastAsia" w:hAnsiTheme="minorEastAsia" w:hint="eastAsia"/>
        </w:rPr>
        <w:t>，</w:t>
      </w:r>
      <w:r w:rsidR="00AF148D" w:rsidRPr="00700065">
        <w:rPr>
          <w:rFonts w:asciiTheme="minorEastAsia" w:eastAsiaTheme="minorEastAsia" w:hAnsiTheme="minorEastAsia" w:hint="eastAsia"/>
        </w:rPr>
        <w:t>如有</w:t>
      </w:r>
      <w:r w:rsidR="00580F7E">
        <w:rPr>
          <w:rFonts w:asciiTheme="minorEastAsia" w:eastAsiaTheme="minorEastAsia" w:hAnsiTheme="minorEastAsia" w:hint="eastAsia"/>
        </w:rPr>
        <w:t>调整</w:t>
      </w:r>
      <w:r w:rsidR="00AF148D" w:rsidRPr="00700065">
        <w:rPr>
          <w:rFonts w:asciiTheme="minorEastAsia" w:eastAsiaTheme="minorEastAsia" w:hAnsiTheme="minorEastAsia" w:hint="eastAsia"/>
        </w:rPr>
        <w:t>，本公司将另行公告。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二、投资者可通过以下途径咨询有关详请：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1</w:t>
      </w:r>
      <w:r w:rsidRPr="00700065">
        <w:rPr>
          <w:rFonts w:asciiTheme="minorEastAsia" w:eastAsiaTheme="minorEastAsia" w:hAnsiTheme="minorEastAsia" w:hint="eastAsia"/>
        </w:rPr>
        <w:t>、本公司网址：</w:t>
      </w:r>
      <w:r w:rsidRPr="00700065">
        <w:rPr>
          <w:rFonts w:asciiTheme="minorEastAsia" w:eastAsiaTheme="minorEastAsia" w:hAnsiTheme="minorEastAsia"/>
          <w:color w:val="323232"/>
        </w:rPr>
        <w:t>www.ubssdic.com</w:t>
      </w:r>
      <w:r w:rsidRPr="00700065">
        <w:rPr>
          <w:rFonts w:asciiTheme="minorEastAsia" w:eastAsiaTheme="minorEastAsia" w:hAnsiTheme="minorEastAsia" w:hint="eastAsia"/>
        </w:rPr>
        <w:t>。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2</w:t>
      </w:r>
      <w:r w:rsidRPr="00700065">
        <w:rPr>
          <w:rFonts w:asciiTheme="minorEastAsia" w:eastAsiaTheme="minorEastAsia" w:hAnsiTheme="minorEastAsia" w:hint="eastAsia"/>
        </w:rPr>
        <w:t>、国投瑞银基金管理有限公司直销柜台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办公地址：广东省深圳市福田区金田路</w:t>
      </w:r>
      <w:r w:rsidRPr="00700065">
        <w:rPr>
          <w:rFonts w:asciiTheme="minorEastAsia" w:eastAsiaTheme="minorEastAsia" w:hAnsiTheme="minorEastAsia" w:cs="Arial"/>
        </w:rPr>
        <w:t>4028</w:t>
      </w:r>
      <w:r w:rsidRPr="00700065">
        <w:rPr>
          <w:rFonts w:asciiTheme="minorEastAsia" w:eastAsiaTheme="minorEastAsia" w:hAnsiTheme="minorEastAsia" w:hint="eastAsia"/>
        </w:rPr>
        <w:t>号荣超经贸中心</w:t>
      </w:r>
      <w:r w:rsidRPr="00700065">
        <w:rPr>
          <w:rFonts w:asciiTheme="minorEastAsia" w:eastAsiaTheme="minorEastAsia" w:hAnsiTheme="minorEastAsia" w:cs="Arial"/>
        </w:rPr>
        <w:t>46</w:t>
      </w:r>
      <w:r w:rsidRPr="00700065">
        <w:rPr>
          <w:rFonts w:asciiTheme="minorEastAsia" w:eastAsiaTheme="minorEastAsia" w:hAnsiTheme="minorEastAsia" w:hint="eastAsia"/>
        </w:rPr>
        <w:t>层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联系人：</w:t>
      </w:r>
      <w:r w:rsidR="00CA5436">
        <w:rPr>
          <w:rFonts w:hAnsi="宋体" w:hint="eastAsia"/>
        </w:rPr>
        <w:t>贾亚莉、李沫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700065">
        <w:rPr>
          <w:rFonts w:asciiTheme="minorEastAsia" w:eastAsiaTheme="minorEastAsia" w:hAnsiTheme="minorEastAsia" w:hint="eastAsia"/>
        </w:rPr>
        <w:t>直销联系电话：</w:t>
      </w:r>
      <w:r w:rsidR="00CA5436">
        <w:rPr>
          <w:rFonts w:hAnsi="宋体" w:hint="eastAsia"/>
        </w:rPr>
        <w:t>(0755)83575993、83575994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700065">
        <w:rPr>
          <w:rFonts w:asciiTheme="minorEastAsia" w:eastAsiaTheme="minorEastAsia" w:hAnsiTheme="minorEastAsia" w:hint="eastAsia"/>
        </w:rPr>
        <w:t>客服电话：</w:t>
      </w:r>
      <w:r w:rsidR="00600A6E">
        <w:rPr>
          <w:rFonts w:asciiTheme="minorEastAsia" w:eastAsiaTheme="minorEastAsia" w:hAnsiTheme="minorEastAsia" w:cs="Arial"/>
        </w:rPr>
        <w:t>400-880-6868</w:t>
      </w:r>
      <w:r w:rsidR="000E2B6B" w:rsidRPr="000E2B6B">
        <w:rPr>
          <w:rFonts w:asciiTheme="minorEastAsia" w:eastAsiaTheme="minorEastAsia" w:hAnsiTheme="minorEastAsia" w:cs="Arial" w:hint="eastAsia"/>
        </w:rPr>
        <w:t>、0755-83160000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700065">
        <w:rPr>
          <w:rFonts w:asciiTheme="minorEastAsia" w:eastAsiaTheme="minorEastAsia" w:hAnsiTheme="minorEastAsia" w:hint="eastAsia"/>
        </w:rPr>
        <w:lastRenderedPageBreak/>
        <w:t>传真：（</w:t>
      </w:r>
      <w:r w:rsidRPr="00700065">
        <w:rPr>
          <w:rFonts w:asciiTheme="minorEastAsia" w:eastAsiaTheme="minorEastAsia" w:hAnsiTheme="minorEastAsia" w:cs="Arial"/>
        </w:rPr>
        <w:t>0755</w:t>
      </w:r>
      <w:r w:rsidRPr="00700065">
        <w:rPr>
          <w:rFonts w:asciiTheme="minorEastAsia" w:eastAsiaTheme="minorEastAsia" w:hAnsiTheme="minorEastAsia" w:hint="eastAsia"/>
        </w:rPr>
        <w:t>）</w:t>
      </w:r>
      <w:r w:rsidR="00600A6E">
        <w:rPr>
          <w:rFonts w:asciiTheme="minorEastAsia" w:eastAsiaTheme="minorEastAsia" w:hAnsiTheme="minorEastAsia" w:cs="Arial"/>
        </w:rPr>
        <w:t>82904048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投资者投资国投瑞银旗下基金前，请仔细阅读</w:t>
      </w:r>
      <w:r w:rsidR="00631A20">
        <w:rPr>
          <w:rFonts w:asciiTheme="minorEastAsia" w:eastAsiaTheme="minorEastAsia" w:hAnsiTheme="minorEastAsia" w:hint="eastAsia"/>
        </w:rPr>
        <w:t>《基金合同》、《招募说明书》、《基金产品资料概要》等</w:t>
      </w:r>
      <w:r w:rsidRPr="00700065">
        <w:rPr>
          <w:rFonts w:asciiTheme="minorEastAsia" w:eastAsiaTheme="minorEastAsia" w:hAnsiTheme="minorEastAsia" w:hint="eastAsia"/>
        </w:rPr>
        <w:t>相关法律文件。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风险提示：本公司承诺以诚实信用、勤勉尽责的原则管理和运用基金资产，但不保证基金一定盈利，也不保证最低收益。敬请投资者注意投资风险。</w:t>
      </w:r>
    </w:p>
    <w:p w:rsidR="00AF148D" w:rsidRDefault="00AF148D" w:rsidP="005513FD">
      <w:pPr>
        <w:pStyle w:val="Default"/>
        <w:spacing w:line="360" w:lineRule="auto"/>
        <w:ind w:right="120"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特此公告。</w:t>
      </w:r>
    </w:p>
    <w:p w:rsidR="00162A33" w:rsidRPr="00700065" w:rsidRDefault="00162A33" w:rsidP="00700065">
      <w:pPr>
        <w:pStyle w:val="Default"/>
        <w:spacing w:line="360" w:lineRule="auto"/>
        <w:ind w:right="120"/>
        <w:rPr>
          <w:rFonts w:asciiTheme="minorEastAsia" w:eastAsiaTheme="minorEastAsia" w:hAnsiTheme="minorEastAsia"/>
        </w:rPr>
      </w:pPr>
    </w:p>
    <w:p w:rsidR="00700065" w:rsidRDefault="00AF148D" w:rsidP="0070006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00065">
        <w:rPr>
          <w:rFonts w:asciiTheme="minorEastAsia" w:hAnsiTheme="minorEastAsia" w:hint="eastAsia"/>
          <w:sz w:val="24"/>
          <w:szCs w:val="24"/>
        </w:rPr>
        <w:t>国投瑞银基金管理有限公司</w:t>
      </w:r>
    </w:p>
    <w:p w:rsidR="005F0BC7" w:rsidRPr="00700065" w:rsidRDefault="000E2B6B" w:rsidP="0070006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00065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21</w:t>
      </w:r>
      <w:r w:rsidRPr="00700065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10</w:t>
      </w:r>
      <w:r w:rsidR="00AF148D" w:rsidRPr="00700065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18</w:t>
      </w:r>
      <w:r w:rsidR="00AF148D" w:rsidRPr="00700065">
        <w:rPr>
          <w:rFonts w:asciiTheme="minorEastAsia" w:hAnsiTheme="minorEastAsia" w:hint="eastAsia"/>
          <w:sz w:val="24"/>
          <w:szCs w:val="24"/>
        </w:rPr>
        <w:t>日</w:t>
      </w:r>
    </w:p>
    <w:sectPr w:rsidR="005F0BC7" w:rsidRPr="00700065" w:rsidSect="0051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E6" w:rsidRDefault="008F42E6" w:rsidP="00972E76">
      <w:r>
        <w:separator/>
      </w:r>
    </w:p>
  </w:endnote>
  <w:endnote w:type="continuationSeparator" w:id="0">
    <w:p w:rsidR="008F42E6" w:rsidRDefault="008F42E6" w:rsidP="0097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E6" w:rsidRDefault="008F42E6" w:rsidP="00972E76">
      <w:r>
        <w:separator/>
      </w:r>
    </w:p>
  </w:footnote>
  <w:footnote w:type="continuationSeparator" w:id="0">
    <w:p w:rsidR="008F42E6" w:rsidRDefault="008F42E6" w:rsidP="0097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48D"/>
    <w:rsid w:val="00024FFF"/>
    <w:rsid w:val="00033BFB"/>
    <w:rsid w:val="00054951"/>
    <w:rsid w:val="00055C5F"/>
    <w:rsid w:val="0008595C"/>
    <w:rsid w:val="00094398"/>
    <w:rsid w:val="000B548F"/>
    <w:rsid w:val="000C267E"/>
    <w:rsid w:val="000D7AB5"/>
    <w:rsid w:val="000E2B6B"/>
    <w:rsid w:val="00135646"/>
    <w:rsid w:val="00162A33"/>
    <w:rsid w:val="00167EB3"/>
    <w:rsid w:val="00174C2C"/>
    <w:rsid w:val="0019342D"/>
    <w:rsid w:val="001B5CAB"/>
    <w:rsid w:val="00205FB1"/>
    <w:rsid w:val="00222AFF"/>
    <w:rsid w:val="002352AF"/>
    <w:rsid w:val="00266293"/>
    <w:rsid w:val="002821D2"/>
    <w:rsid w:val="0028267D"/>
    <w:rsid w:val="00297239"/>
    <w:rsid w:val="002B3D26"/>
    <w:rsid w:val="002D535E"/>
    <w:rsid w:val="002F3122"/>
    <w:rsid w:val="003063A9"/>
    <w:rsid w:val="0034720E"/>
    <w:rsid w:val="00360006"/>
    <w:rsid w:val="003C454A"/>
    <w:rsid w:val="003D64DA"/>
    <w:rsid w:val="003F3B92"/>
    <w:rsid w:val="004560F2"/>
    <w:rsid w:val="004940B5"/>
    <w:rsid w:val="004A47A3"/>
    <w:rsid w:val="004A47B6"/>
    <w:rsid w:val="004D0284"/>
    <w:rsid w:val="0051100C"/>
    <w:rsid w:val="00524731"/>
    <w:rsid w:val="00533F3A"/>
    <w:rsid w:val="005430C9"/>
    <w:rsid w:val="005513FD"/>
    <w:rsid w:val="00557234"/>
    <w:rsid w:val="00570E40"/>
    <w:rsid w:val="00580F7E"/>
    <w:rsid w:val="00584B08"/>
    <w:rsid w:val="005E4C37"/>
    <w:rsid w:val="005F0BC7"/>
    <w:rsid w:val="00600A6E"/>
    <w:rsid w:val="00631A20"/>
    <w:rsid w:val="006759CA"/>
    <w:rsid w:val="00687687"/>
    <w:rsid w:val="00693B11"/>
    <w:rsid w:val="00695F5C"/>
    <w:rsid w:val="006B2B94"/>
    <w:rsid w:val="006E6DEA"/>
    <w:rsid w:val="00700065"/>
    <w:rsid w:val="00706735"/>
    <w:rsid w:val="00726811"/>
    <w:rsid w:val="007741C6"/>
    <w:rsid w:val="00792010"/>
    <w:rsid w:val="007B68C0"/>
    <w:rsid w:val="007D204F"/>
    <w:rsid w:val="007D7163"/>
    <w:rsid w:val="00821687"/>
    <w:rsid w:val="00857BF9"/>
    <w:rsid w:val="00886C99"/>
    <w:rsid w:val="008B3A80"/>
    <w:rsid w:val="008C2A83"/>
    <w:rsid w:val="008E21B6"/>
    <w:rsid w:val="008F42E6"/>
    <w:rsid w:val="00902C07"/>
    <w:rsid w:val="0090439A"/>
    <w:rsid w:val="00950B56"/>
    <w:rsid w:val="00960E65"/>
    <w:rsid w:val="00972E76"/>
    <w:rsid w:val="009763FF"/>
    <w:rsid w:val="009D4D0A"/>
    <w:rsid w:val="00A502F8"/>
    <w:rsid w:val="00A70A92"/>
    <w:rsid w:val="00A72FB3"/>
    <w:rsid w:val="00A802DB"/>
    <w:rsid w:val="00A84D54"/>
    <w:rsid w:val="00A87780"/>
    <w:rsid w:val="00AC310B"/>
    <w:rsid w:val="00AF148D"/>
    <w:rsid w:val="00B21B3C"/>
    <w:rsid w:val="00B6090A"/>
    <w:rsid w:val="00B700EC"/>
    <w:rsid w:val="00B73A3A"/>
    <w:rsid w:val="00B85587"/>
    <w:rsid w:val="00B91FAB"/>
    <w:rsid w:val="00BC3B16"/>
    <w:rsid w:val="00C3117C"/>
    <w:rsid w:val="00C34D78"/>
    <w:rsid w:val="00C90A42"/>
    <w:rsid w:val="00CA5436"/>
    <w:rsid w:val="00CA740F"/>
    <w:rsid w:val="00CB5329"/>
    <w:rsid w:val="00CD1B68"/>
    <w:rsid w:val="00D223EF"/>
    <w:rsid w:val="00D26B33"/>
    <w:rsid w:val="00D544B7"/>
    <w:rsid w:val="00D74733"/>
    <w:rsid w:val="00D74A34"/>
    <w:rsid w:val="00DA0071"/>
    <w:rsid w:val="00DA1847"/>
    <w:rsid w:val="00DB6A57"/>
    <w:rsid w:val="00DC2107"/>
    <w:rsid w:val="00DC3D33"/>
    <w:rsid w:val="00E00C85"/>
    <w:rsid w:val="00E112E3"/>
    <w:rsid w:val="00E57A1B"/>
    <w:rsid w:val="00E6664C"/>
    <w:rsid w:val="00EA43E8"/>
    <w:rsid w:val="00EB43D2"/>
    <w:rsid w:val="00F14BD4"/>
    <w:rsid w:val="00F5527C"/>
    <w:rsid w:val="00F90FC8"/>
    <w:rsid w:val="00F91639"/>
    <w:rsid w:val="00FE03A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48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C3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310B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AC310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AC310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AC310B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C310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AC310B"/>
    <w:rPr>
      <w:b/>
      <w:bCs/>
    </w:rPr>
  </w:style>
  <w:style w:type="paragraph" w:styleId="a7">
    <w:name w:val="header"/>
    <w:basedOn w:val="a"/>
    <w:link w:val="Char2"/>
    <w:uiPriority w:val="99"/>
    <w:unhideWhenUsed/>
    <w:rsid w:val="0097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72E7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72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72E76"/>
    <w:rPr>
      <w:sz w:val="18"/>
      <w:szCs w:val="18"/>
    </w:rPr>
  </w:style>
  <w:style w:type="table" w:styleId="a9">
    <w:name w:val="Table Grid"/>
    <w:basedOn w:val="a1"/>
    <w:uiPriority w:val="59"/>
    <w:rsid w:val="00F5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110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351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68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6807429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FCF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4</DocSecurity>
  <Lines>5</Lines>
  <Paragraphs>1</Paragraphs>
  <ScaleCrop>false</ScaleCrop>
  <Company>Lenovo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邢辉</dc:creator>
  <cp:lastModifiedBy>ZHONGM</cp:lastModifiedBy>
  <cp:revision>2</cp:revision>
  <dcterms:created xsi:type="dcterms:W3CDTF">2021-10-17T16:01:00Z</dcterms:created>
  <dcterms:modified xsi:type="dcterms:W3CDTF">2021-10-17T16:01:00Z</dcterms:modified>
</cp:coreProperties>
</file>