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95" w:rsidRDefault="00BE19F0">
      <w:pPr>
        <w:spacing w:line="360" w:lineRule="auto"/>
        <w:jc w:val="center"/>
        <w:rPr>
          <w:rFonts w:ascii="Times New Roman" w:eastAsia="黑体" w:hAnsi="Times New Roman" w:cs="Times New Roman"/>
          <w:b/>
          <w:sz w:val="30"/>
          <w:szCs w:val="30"/>
        </w:rPr>
      </w:pPr>
      <w:r>
        <w:rPr>
          <w:rFonts w:ascii="Times New Roman" w:eastAsia="黑体" w:hAnsi="Times New Roman" w:cs="Times New Roman" w:hint="eastAsia"/>
          <w:b/>
          <w:sz w:val="30"/>
          <w:szCs w:val="30"/>
        </w:rPr>
        <w:t>中信建投基金管理有限公司关于旗下部分基金投资关联方承销证券的公告</w:t>
      </w:r>
    </w:p>
    <w:p w:rsidR="001C7195" w:rsidRDefault="001C7195">
      <w:pPr>
        <w:spacing w:line="360" w:lineRule="auto"/>
        <w:jc w:val="center"/>
        <w:rPr>
          <w:rFonts w:ascii="Times New Roman" w:hAnsi="Times New Roman" w:cs="Times New Roman"/>
          <w:sz w:val="24"/>
          <w:szCs w:val="24"/>
        </w:rPr>
      </w:pPr>
    </w:p>
    <w:p w:rsidR="001C7195" w:rsidRDefault="00BE19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中华人民共和国证券投资基金法》、《公开募集证券投资基金运作管理办法》、《公开募集证券投资基金信息披露管理办法》及相关基金合同、招募说明书等有关规定，经履行适当的审批程序，中信建投基金管理有限公司（以下简称“本公司”）旗下部分基金参与了四川汇宇制药股份有限公司（以下简称“汇宇制药”）首次公开发行人民币普通股（</w:t>
      </w:r>
      <w:r>
        <w:rPr>
          <w:rFonts w:ascii="Times New Roman" w:hAnsi="Times New Roman" w:cs="Times New Roman"/>
          <w:sz w:val="24"/>
          <w:szCs w:val="24"/>
        </w:rPr>
        <w:t xml:space="preserve">A </w:t>
      </w:r>
      <w:r>
        <w:rPr>
          <w:rFonts w:ascii="Times New Roman" w:hAnsi="Times New Roman" w:cs="Times New Roman" w:hint="eastAsia"/>
          <w:sz w:val="24"/>
          <w:szCs w:val="24"/>
        </w:rPr>
        <w:t>股）并在科创板上市（以下简称“本次发行”）的网下申购，本公司控股股东中信建投证券股份有限</w:t>
      </w:r>
      <w:bookmarkStart w:id="0" w:name="_GoBack"/>
      <w:bookmarkEnd w:id="0"/>
      <w:r>
        <w:rPr>
          <w:rFonts w:ascii="Times New Roman" w:hAnsi="Times New Roman" w:cs="Times New Roman" w:hint="eastAsia"/>
          <w:sz w:val="24"/>
          <w:szCs w:val="24"/>
        </w:rPr>
        <w:t>公司为本次发行的保荐机构（联席主承销商）。本次发行价格为</w:t>
      </w:r>
      <w:r>
        <w:rPr>
          <w:rFonts w:ascii="Times New Roman" w:hAnsi="Times New Roman" w:cs="Times New Roman" w:hint="eastAsia"/>
          <w:sz w:val="24"/>
          <w:szCs w:val="24"/>
        </w:rPr>
        <w:t>38.87</w:t>
      </w:r>
      <w:r>
        <w:rPr>
          <w:rFonts w:ascii="Times New Roman" w:hAnsi="Times New Roman" w:cs="Times New Roman" w:hint="eastAsia"/>
          <w:sz w:val="24"/>
          <w:szCs w:val="24"/>
        </w:rPr>
        <w:t>元</w:t>
      </w:r>
      <w:r>
        <w:rPr>
          <w:rFonts w:ascii="Times New Roman" w:hAnsi="Times New Roman" w:cs="Times New Roman"/>
          <w:sz w:val="24"/>
          <w:szCs w:val="24"/>
        </w:rPr>
        <w:t>/</w:t>
      </w:r>
      <w:r>
        <w:rPr>
          <w:rFonts w:ascii="Times New Roman" w:hAnsi="Times New Roman" w:cs="Times New Roman" w:hint="eastAsia"/>
          <w:sz w:val="24"/>
          <w:szCs w:val="24"/>
        </w:rPr>
        <w:t>股，</w:t>
      </w:r>
      <w:r>
        <w:rPr>
          <w:rFonts w:ascii="宋体" w:eastAsia="宋体" w:hAnsi="宋体" w:cs="宋体"/>
          <w:sz w:val="24"/>
          <w:szCs w:val="24"/>
        </w:rPr>
        <w:t>发行人和联席主承销商根据初步询价结果，综合评估发行人合理投资价值、本次公开发行的股份数量、可比公司二级市场估值水平、所属行业二级市场估值水平、市场情况、募集资金需求及承销风险等因素，协商确定本次发行价格</w:t>
      </w:r>
      <w:r>
        <w:rPr>
          <w:rFonts w:ascii="Times New Roman" w:hAnsi="Times New Roman" w:cs="Times New Roman" w:hint="eastAsia"/>
          <w:sz w:val="24"/>
          <w:szCs w:val="24"/>
        </w:rPr>
        <w:t>。</w:t>
      </w:r>
    </w:p>
    <w:p w:rsidR="001C7195" w:rsidRDefault="00BE19F0">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根据法律法规、基金合同及汇宇制药于</w:t>
      </w:r>
      <w:r>
        <w:rPr>
          <w:rFonts w:ascii="Times New Roman" w:hAnsi="Times New Roman" w:cs="Times New Roman"/>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10</w:t>
      </w:r>
      <w:r>
        <w:rPr>
          <w:rFonts w:ascii="Times New Roman" w:hAnsi="Times New Roman" w:cs="Times New Roman" w:hint="eastAsia"/>
          <w:sz w:val="24"/>
          <w:szCs w:val="24"/>
        </w:rPr>
        <w:t>月</w:t>
      </w:r>
      <w:r>
        <w:rPr>
          <w:rFonts w:ascii="Times New Roman" w:hAnsi="Times New Roman" w:cs="Times New Roman" w:hint="eastAsia"/>
          <w:sz w:val="24"/>
          <w:szCs w:val="24"/>
        </w:rPr>
        <w:t>14</w:t>
      </w:r>
      <w:r>
        <w:rPr>
          <w:rFonts w:ascii="Times New Roman" w:hAnsi="Times New Roman" w:cs="Times New Roman" w:hint="eastAsia"/>
          <w:sz w:val="24"/>
          <w:szCs w:val="24"/>
        </w:rPr>
        <w:t>日发布的《四川汇宇制药股份有限公司首次公开发行股票并在科创板上市网下初步配售结果及网上中签结果公告》，现将本公司旗下基金获配信息公告如下：</w:t>
      </w:r>
    </w:p>
    <w:tbl>
      <w:tblPr>
        <w:tblStyle w:val="a6"/>
        <w:tblW w:w="10458" w:type="dxa"/>
        <w:jc w:val="center"/>
        <w:tblLayout w:type="fixed"/>
        <w:tblLook w:val="04A0"/>
      </w:tblPr>
      <w:tblGrid>
        <w:gridCol w:w="5780"/>
        <w:gridCol w:w="1276"/>
        <w:gridCol w:w="1701"/>
        <w:gridCol w:w="1701"/>
      </w:tblGrid>
      <w:tr w:rsidR="001C7195">
        <w:trPr>
          <w:jc w:val="center"/>
        </w:trPr>
        <w:tc>
          <w:tcPr>
            <w:tcW w:w="5780" w:type="dxa"/>
          </w:tcPr>
          <w:p w:rsidR="001C7195" w:rsidRDefault="00BE19F0">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基金名称</w:t>
            </w:r>
          </w:p>
        </w:tc>
        <w:tc>
          <w:tcPr>
            <w:tcW w:w="1276" w:type="dxa"/>
          </w:tcPr>
          <w:p w:rsidR="001C7195" w:rsidRDefault="00BE19F0">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获配数量（股）</w:t>
            </w:r>
          </w:p>
        </w:tc>
        <w:tc>
          <w:tcPr>
            <w:tcW w:w="1701" w:type="dxa"/>
          </w:tcPr>
          <w:p w:rsidR="001C7195" w:rsidRDefault="00BE19F0">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获配金额（元，不含佣金）</w:t>
            </w:r>
          </w:p>
        </w:tc>
        <w:tc>
          <w:tcPr>
            <w:tcW w:w="1701" w:type="dxa"/>
          </w:tcPr>
          <w:p w:rsidR="001C7195" w:rsidRDefault="00BE19F0">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相应新股配售经纪佣金（元）</w:t>
            </w:r>
          </w:p>
        </w:tc>
      </w:tr>
      <w:tr w:rsidR="001C7195">
        <w:trPr>
          <w:jc w:val="center"/>
        </w:trPr>
        <w:tc>
          <w:tcPr>
            <w:tcW w:w="5780" w:type="dxa"/>
            <w:shd w:val="clear" w:color="auto" w:fill="FFFFFF" w:themeFill="background1"/>
          </w:tcPr>
          <w:p w:rsidR="001C7195" w:rsidRDefault="00BE19F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中信建投行业轮换混合型证券投资基金</w:t>
            </w:r>
          </w:p>
        </w:tc>
        <w:tc>
          <w:tcPr>
            <w:tcW w:w="1276" w:type="dxa"/>
          </w:tcPr>
          <w:p w:rsidR="001C7195" w:rsidRDefault="00BE19F0">
            <w:pPr>
              <w:spacing w:line="360" w:lineRule="auto"/>
              <w:jc w:val="right"/>
              <w:rPr>
                <w:rFonts w:ascii="Times New Roman" w:hAnsi="Times New Roman" w:cs="Times New Roman"/>
                <w:sz w:val="24"/>
                <w:szCs w:val="24"/>
              </w:rPr>
            </w:pPr>
            <w:r>
              <w:rPr>
                <w:rFonts w:hint="eastAsia"/>
                <w:sz w:val="24"/>
                <w:szCs w:val="24"/>
              </w:rPr>
              <w:t>4</w:t>
            </w:r>
            <w:r>
              <w:rPr>
                <w:sz w:val="24"/>
                <w:szCs w:val="24"/>
              </w:rPr>
              <w:t>,</w:t>
            </w:r>
            <w:r>
              <w:rPr>
                <w:rFonts w:hint="eastAsia"/>
                <w:sz w:val="24"/>
                <w:szCs w:val="24"/>
              </w:rPr>
              <w:t>062</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157</w:t>
            </w:r>
            <w:r>
              <w:rPr>
                <w:sz w:val="24"/>
                <w:szCs w:val="24"/>
              </w:rPr>
              <w:t>,</w:t>
            </w:r>
            <w:r>
              <w:rPr>
                <w:rFonts w:hint="eastAsia"/>
                <w:sz w:val="24"/>
                <w:szCs w:val="24"/>
              </w:rPr>
              <w:t>889</w:t>
            </w:r>
            <w:r>
              <w:rPr>
                <w:sz w:val="24"/>
                <w:szCs w:val="24"/>
              </w:rPr>
              <w:t>.</w:t>
            </w:r>
            <w:r>
              <w:rPr>
                <w:rFonts w:hint="eastAsia"/>
                <w:sz w:val="24"/>
                <w:szCs w:val="24"/>
              </w:rPr>
              <w:t>94</w:t>
            </w:r>
          </w:p>
        </w:tc>
        <w:tc>
          <w:tcPr>
            <w:tcW w:w="1701" w:type="dxa"/>
          </w:tcPr>
          <w:p w:rsidR="001C7195" w:rsidRDefault="00BE19F0">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789</w:t>
            </w:r>
            <w:r>
              <w:rPr>
                <w:rFonts w:ascii="Times New Roman" w:hAnsi="Times New Roman" w:cs="Times New Roman"/>
                <w:sz w:val="24"/>
                <w:szCs w:val="24"/>
              </w:rPr>
              <w:t>.</w:t>
            </w:r>
            <w:r>
              <w:rPr>
                <w:rFonts w:ascii="Times New Roman" w:hAnsi="Times New Roman" w:cs="Times New Roman" w:hint="eastAsia"/>
                <w:sz w:val="24"/>
                <w:szCs w:val="24"/>
              </w:rPr>
              <w:t>45</w:t>
            </w:r>
          </w:p>
        </w:tc>
      </w:tr>
      <w:tr w:rsidR="001C7195">
        <w:trPr>
          <w:jc w:val="center"/>
        </w:trPr>
        <w:tc>
          <w:tcPr>
            <w:tcW w:w="5780" w:type="dxa"/>
            <w:shd w:val="clear" w:color="auto" w:fill="FFFFFF" w:themeFill="background1"/>
          </w:tcPr>
          <w:p w:rsidR="001C7195" w:rsidRDefault="00BE19F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中信建投价值甄选混合型证券投资基金</w:t>
            </w:r>
          </w:p>
        </w:tc>
        <w:tc>
          <w:tcPr>
            <w:tcW w:w="1276" w:type="dxa"/>
          </w:tcPr>
          <w:p w:rsidR="001C7195" w:rsidRDefault="00BE19F0">
            <w:pPr>
              <w:spacing w:line="360" w:lineRule="auto"/>
              <w:jc w:val="right"/>
              <w:rPr>
                <w:rFonts w:ascii="Times New Roman" w:hAnsi="Times New Roman" w:cs="Times New Roman"/>
                <w:sz w:val="24"/>
                <w:szCs w:val="24"/>
              </w:rPr>
            </w:pPr>
            <w:r>
              <w:rPr>
                <w:rFonts w:hint="eastAsia"/>
                <w:sz w:val="24"/>
                <w:szCs w:val="24"/>
              </w:rPr>
              <w:t>4</w:t>
            </w:r>
            <w:r>
              <w:rPr>
                <w:sz w:val="24"/>
                <w:szCs w:val="24"/>
              </w:rPr>
              <w:t>,</w:t>
            </w:r>
            <w:r>
              <w:rPr>
                <w:rFonts w:hint="eastAsia"/>
                <w:sz w:val="24"/>
                <w:szCs w:val="24"/>
              </w:rPr>
              <w:t>642</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180</w:t>
            </w:r>
            <w:r>
              <w:rPr>
                <w:sz w:val="24"/>
                <w:szCs w:val="24"/>
              </w:rPr>
              <w:t>,</w:t>
            </w:r>
            <w:r>
              <w:rPr>
                <w:rFonts w:hint="eastAsia"/>
                <w:sz w:val="24"/>
                <w:szCs w:val="24"/>
              </w:rPr>
              <w:t>434</w:t>
            </w:r>
            <w:r>
              <w:rPr>
                <w:sz w:val="24"/>
                <w:szCs w:val="24"/>
              </w:rPr>
              <w:t>.</w:t>
            </w:r>
            <w:r>
              <w:rPr>
                <w:rFonts w:hint="eastAsia"/>
                <w:sz w:val="24"/>
                <w:szCs w:val="24"/>
              </w:rPr>
              <w:t>54</w:t>
            </w:r>
          </w:p>
        </w:tc>
        <w:tc>
          <w:tcPr>
            <w:tcW w:w="1701" w:type="dxa"/>
          </w:tcPr>
          <w:p w:rsidR="001C7195" w:rsidRDefault="00BE19F0">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902</w:t>
            </w:r>
            <w:r>
              <w:rPr>
                <w:rFonts w:ascii="Times New Roman" w:hAnsi="Times New Roman" w:cs="Times New Roman"/>
                <w:sz w:val="24"/>
                <w:szCs w:val="24"/>
              </w:rPr>
              <w:t>.</w:t>
            </w:r>
            <w:r>
              <w:rPr>
                <w:rFonts w:ascii="Times New Roman" w:hAnsi="Times New Roman" w:cs="Times New Roman" w:hint="eastAsia"/>
                <w:sz w:val="24"/>
                <w:szCs w:val="24"/>
              </w:rPr>
              <w:t>17</w:t>
            </w:r>
          </w:p>
        </w:tc>
      </w:tr>
      <w:tr w:rsidR="001C7195">
        <w:trPr>
          <w:jc w:val="center"/>
        </w:trPr>
        <w:tc>
          <w:tcPr>
            <w:tcW w:w="5780" w:type="dxa"/>
            <w:shd w:val="clear" w:color="auto" w:fill="FFFFFF" w:themeFill="background1"/>
          </w:tcPr>
          <w:p w:rsidR="001C7195" w:rsidRDefault="00BE19F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中信建投远见回报混合型证券投资基金</w:t>
            </w:r>
          </w:p>
        </w:tc>
        <w:tc>
          <w:tcPr>
            <w:tcW w:w="1276" w:type="dxa"/>
          </w:tcPr>
          <w:p w:rsidR="001C7195" w:rsidRDefault="00BE19F0">
            <w:pPr>
              <w:spacing w:line="360" w:lineRule="auto"/>
              <w:jc w:val="right"/>
              <w:rPr>
                <w:rFonts w:ascii="Times New Roman" w:hAnsi="Times New Roman" w:cs="Times New Roman"/>
                <w:sz w:val="24"/>
                <w:szCs w:val="24"/>
              </w:rPr>
            </w:pPr>
            <w:r>
              <w:rPr>
                <w:rFonts w:hint="eastAsia"/>
                <w:sz w:val="24"/>
                <w:szCs w:val="24"/>
              </w:rPr>
              <w:t>8</w:t>
            </w:r>
            <w:r>
              <w:rPr>
                <w:sz w:val="24"/>
                <w:szCs w:val="24"/>
              </w:rPr>
              <w:t>,</w:t>
            </w:r>
            <w:r>
              <w:rPr>
                <w:rFonts w:hint="eastAsia"/>
                <w:sz w:val="24"/>
                <w:szCs w:val="24"/>
              </w:rPr>
              <w:t>928</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347</w:t>
            </w:r>
            <w:r>
              <w:rPr>
                <w:sz w:val="24"/>
                <w:szCs w:val="24"/>
              </w:rPr>
              <w:t>,</w:t>
            </w:r>
            <w:r>
              <w:rPr>
                <w:rFonts w:hint="eastAsia"/>
                <w:sz w:val="24"/>
                <w:szCs w:val="24"/>
              </w:rPr>
              <w:t>031</w:t>
            </w:r>
            <w:r>
              <w:rPr>
                <w:sz w:val="24"/>
                <w:szCs w:val="24"/>
              </w:rPr>
              <w:t>.</w:t>
            </w:r>
            <w:r>
              <w:rPr>
                <w:rFonts w:hint="eastAsia"/>
                <w:sz w:val="24"/>
                <w:szCs w:val="24"/>
              </w:rPr>
              <w:t>36</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1</w:t>
            </w:r>
            <w:r>
              <w:rPr>
                <w:sz w:val="24"/>
                <w:szCs w:val="24"/>
              </w:rPr>
              <w:t>,</w:t>
            </w:r>
            <w:r>
              <w:rPr>
                <w:rFonts w:hint="eastAsia"/>
                <w:sz w:val="24"/>
                <w:szCs w:val="24"/>
              </w:rPr>
              <w:t>735</w:t>
            </w:r>
            <w:r>
              <w:rPr>
                <w:rFonts w:ascii="Times New Roman" w:hAnsi="Times New Roman" w:cs="Times New Roman"/>
                <w:sz w:val="24"/>
                <w:szCs w:val="24"/>
              </w:rPr>
              <w:t>.</w:t>
            </w:r>
            <w:r>
              <w:rPr>
                <w:rFonts w:ascii="Times New Roman" w:hAnsi="Times New Roman" w:cs="Times New Roman" w:hint="eastAsia"/>
                <w:sz w:val="24"/>
                <w:szCs w:val="24"/>
              </w:rPr>
              <w:t>16</w:t>
            </w:r>
          </w:p>
        </w:tc>
      </w:tr>
      <w:tr w:rsidR="001C7195">
        <w:trPr>
          <w:jc w:val="center"/>
        </w:trPr>
        <w:tc>
          <w:tcPr>
            <w:tcW w:w="5780" w:type="dxa"/>
            <w:shd w:val="clear" w:color="auto" w:fill="FFFFFF" w:themeFill="background1"/>
          </w:tcPr>
          <w:p w:rsidR="001C7195" w:rsidRDefault="00BE19F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中信建投医药健康混合型证券投资基金</w:t>
            </w:r>
          </w:p>
        </w:tc>
        <w:tc>
          <w:tcPr>
            <w:tcW w:w="1276" w:type="dxa"/>
          </w:tcPr>
          <w:p w:rsidR="001C7195" w:rsidRDefault="00BE19F0">
            <w:pPr>
              <w:spacing w:line="360" w:lineRule="auto"/>
              <w:jc w:val="right"/>
              <w:rPr>
                <w:rFonts w:ascii="Times New Roman" w:hAnsi="Times New Roman" w:cs="Times New Roman"/>
                <w:sz w:val="24"/>
                <w:szCs w:val="24"/>
              </w:rPr>
            </w:pPr>
            <w:r>
              <w:rPr>
                <w:rFonts w:hint="eastAsia"/>
                <w:sz w:val="24"/>
                <w:szCs w:val="24"/>
              </w:rPr>
              <w:t>7</w:t>
            </w:r>
            <w:r>
              <w:rPr>
                <w:sz w:val="24"/>
                <w:szCs w:val="24"/>
              </w:rPr>
              <w:t>,</w:t>
            </w:r>
            <w:r>
              <w:rPr>
                <w:rFonts w:hint="eastAsia"/>
                <w:sz w:val="24"/>
                <w:szCs w:val="24"/>
              </w:rPr>
              <w:t>901</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307</w:t>
            </w:r>
            <w:r>
              <w:rPr>
                <w:sz w:val="24"/>
                <w:szCs w:val="24"/>
              </w:rPr>
              <w:t>,</w:t>
            </w:r>
            <w:r>
              <w:rPr>
                <w:rFonts w:hint="eastAsia"/>
                <w:sz w:val="24"/>
                <w:szCs w:val="24"/>
              </w:rPr>
              <w:t>111</w:t>
            </w:r>
            <w:r>
              <w:rPr>
                <w:sz w:val="24"/>
                <w:szCs w:val="24"/>
              </w:rPr>
              <w:t>.</w:t>
            </w:r>
            <w:r>
              <w:rPr>
                <w:rFonts w:hint="eastAsia"/>
                <w:sz w:val="24"/>
                <w:szCs w:val="24"/>
              </w:rPr>
              <w:t>87</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1</w:t>
            </w:r>
            <w:r>
              <w:rPr>
                <w:sz w:val="24"/>
                <w:szCs w:val="24"/>
              </w:rPr>
              <w:t>,</w:t>
            </w:r>
            <w:r>
              <w:rPr>
                <w:rFonts w:hint="eastAsia"/>
                <w:sz w:val="24"/>
                <w:szCs w:val="24"/>
              </w:rPr>
              <w:t>535</w:t>
            </w:r>
            <w:r>
              <w:rPr>
                <w:rFonts w:ascii="Times New Roman" w:hAnsi="Times New Roman" w:cs="Times New Roman"/>
                <w:sz w:val="24"/>
                <w:szCs w:val="24"/>
              </w:rPr>
              <w:t>.</w:t>
            </w:r>
            <w:r>
              <w:rPr>
                <w:rFonts w:ascii="Times New Roman" w:hAnsi="Times New Roman" w:cs="Times New Roman" w:hint="eastAsia"/>
                <w:sz w:val="24"/>
                <w:szCs w:val="24"/>
              </w:rPr>
              <w:t>56</w:t>
            </w:r>
          </w:p>
        </w:tc>
      </w:tr>
      <w:tr w:rsidR="001C7195">
        <w:trPr>
          <w:jc w:val="center"/>
        </w:trPr>
        <w:tc>
          <w:tcPr>
            <w:tcW w:w="5780" w:type="dxa"/>
            <w:shd w:val="clear" w:color="auto" w:fill="FFFFFF" w:themeFill="background1"/>
          </w:tcPr>
          <w:p w:rsidR="001C7195" w:rsidRDefault="00BE19F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中信建投医改灵活配置混合型证券投资基金</w:t>
            </w:r>
          </w:p>
        </w:tc>
        <w:tc>
          <w:tcPr>
            <w:tcW w:w="1276" w:type="dxa"/>
          </w:tcPr>
          <w:p w:rsidR="001C7195" w:rsidRDefault="00BE19F0">
            <w:pPr>
              <w:spacing w:line="360" w:lineRule="auto"/>
              <w:jc w:val="right"/>
              <w:rPr>
                <w:rFonts w:ascii="Times New Roman" w:hAnsi="Times New Roman" w:cs="Times New Roman"/>
                <w:sz w:val="24"/>
                <w:szCs w:val="24"/>
              </w:rPr>
            </w:pPr>
            <w:r>
              <w:rPr>
                <w:rFonts w:hint="eastAsia"/>
                <w:sz w:val="24"/>
                <w:szCs w:val="24"/>
              </w:rPr>
              <w:t>8</w:t>
            </w:r>
            <w:r>
              <w:rPr>
                <w:sz w:val="24"/>
                <w:szCs w:val="24"/>
              </w:rPr>
              <w:t>,</w:t>
            </w:r>
            <w:r>
              <w:rPr>
                <w:rFonts w:hint="eastAsia"/>
                <w:sz w:val="24"/>
                <w:szCs w:val="24"/>
              </w:rPr>
              <w:t>928</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347</w:t>
            </w:r>
            <w:r>
              <w:rPr>
                <w:sz w:val="24"/>
                <w:szCs w:val="24"/>
              </w:rPr>
              <w:t>,</w:t>
            </w:r>
            <w:r>
              <w:rPr>
                <w:rFonts w:hint="eastAsia"/>
                <w:sz w:val="24"/>
                <w:szCs w:val="24"/>
              </w:rPr>
              <w:t>031</w:t>
            </w:r>
            <w:r>
              <w:rPr>
                <w:sz w:val="24"/>
                <w:szCs w:val="24"/>
              </w:rPr>
              <w:t>.</w:t>
            </w:r>
            <w:r>
              <w:rPr>
                <w:rFonts w:hint="eastAsia"/>
                <w:sz w:val="24"/>
                <w:szCs w:val="24"/>
              </w:rPr>
              <w:t>36</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1</w:t>
            </w:r>
            <w:r>
              <w:rPr>
                <w:sz w:val="24"/>
                <w:szCs w:val="24"/>
              </w:rPr>
              <w:t>,</w:t>
            </w:r>
            <w:r>
              <w:rPr>
                <w:rFonts w:hint="eastAsia"/>
                <w:sz w:val="24"/>
                <w:szCs w:val="24"/>
              </w:rPr>
              <w:t>735</w:t>
            </w:r>
            <w:r>
              <w:rPr>
                <w:rFonts w:ascii="Times New Roman" w:hAnsi="Times New Roman" w:cs="Times New Roman"/>
                <w:sz w:val="24"/>
                <w:szCs w:val="24"/>
              </w:rPr>
              <w:t>.</w:t>
            </w:r>
            <w:r>
              <w:rPr>
                <w:rFonts w:ascii="Times New Roman" w:hAnsi="Times New Roman" w:cs="Times New Roman" w:hint="eastAsia"/>
                <w:sz w:val="24"/>
                <w:szCs w:val="24"/>
              </w:rPr>
              <w:t>16</w:t>
            </w:r>
          </w:p>
        </w:tc>
      </w:tr>
      <w:tr w:rsidR="001C7195">
        <w:trPr>
          <w:jc w:val="center"/>
        </w:trPr>
        <w:tc>
          <w:tcPr>
            <w:tcW w:w="5780" w:type="dxa"/>
            <w:shd w:val="clear" w:color="auto" w:fill="FFFFFF" w:themeFill="background1"/>
          </w:tcPr>
          <w:p w:rsidR="001C7195" w:rsidRDefault="00BE19F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中信建投智信物联网灵活配置混合型证券投资基金</w:t>
            </w:r>
          </w:p>
        </w:tc>
        <w:tc>
          <w:tcPr>
            <w:tcW w:w="1276" w:type="dxa"/>
          </w:tcPr>
          <w:p w:rsidR="001C7195" w:rsidRDefault="00BE19F0">
            <w:pPr>
              <w:spacing w:line="360" w:lineRule="auto"/>
              <w:jc w:val="right"/>
              <w:rPr>
                <w:sz w:val="24"/>
                <w:szCs w:val="24"/>
              </w:rPr>
            </w:pPr>
            <w:r>
              <w:rPr>
                <w:rFonts w:hint="eastAsia"/>
                <w:sz w:val="24"/>
                <w:szCs w:val="24"/>
              </w:rPr>
              <w:t>5</w:t>
            </w:r>
            <w:r>
              <w:rPr>
                <w:sz w:val="24"/>
                <w:szCs w:val="24"/>
              </w:rPr>
              <w:t>,</w:t>
            </w:r>
            <w:r>
              <w:rPr>
                <w:rFonts w:hint="eastAsia"/>
                <w:sz w:val="24"/>
                <w:szCs w:val="24"/>
              </w:rPr>
              <w:t>669</w:t>
            </w:r>
          </w:p>
        </w:tc>
        <w:tc>
          <w:tcPr>
            <w:tcW w:w="1701" w:type="dxa"/>
          </w:tcPr>
          <w:p w:rsidR="001C7195" w:rsidRDefault="00BE19F0">
            <w:pPr>
              <w:spacing w:line="360" w:lineRule="auto"/>
              <w:jc w:val="right"/>
              <w:rPr>
                <w:sz w:val="24"/>
                <w:szCs w:val="24"/>
              </w:rPr>
            </w:pPr>
            <w:r>
              <w:rPr>
                <w:rFonts w:hint="eastAsia"/>
                <w:sz w:val="24"/>
                <w:szCs w:val="24"/>
              </w:rPr>
              <w:t>220</w:t>
            </w:r>
            <w:r>
              <w:rPr>
                <w:sz w:val="24"/>
                <w:szCs w:val="24"/>
              </w:rPr>
              <w:t>,</w:t>
            </w:r>
            <w:r>
              <w:rPr>
                <w:rFonts w:hint="eastAsia"/>
                <w:sz w:val="24"/>
                <w:szCs w:val="24"/>
              </w:rPr>
              <w:t>354</w:t>
            </w:r>
            <w:r>
              <w:rPr>
                <w:sz w:val="24"/>
                <w:szCs w:val="24"/>
              </w:rPr>
              <w:t>.</w:t>
            </w:r>
            <w:r>
              <w:rPr>
                <w:rFonts w:hint="eastAsia"/>
                <w:sz w:val="24"/>
                <w:szCs w:val="24"/>
              </w:rPr>
              <w:t>03</w:t>
            </w:r>
          </w:p>
        </w:tc>
        <w:tc>
          <w:tcPr>
            <w:tcW w:w="1701" w:type="dxa"/>
          </w:tcPr>
          <w:p w:rsidR="001C7195" w:rsidRDefault="00BE19F0">
            <w:pPr>
              <w:spacing w:line="360" w:lineRule="auto"/>
              <w:jc w:val="right"/>
              <w:rPr>
                <w:sz w:val="24"/>
                <w:szCs w:val="24"/>
              </w:rPr>
            </w:pPr>
            <w:r>
              <w:rPr>
                <w:rFonts w:hint="eastAsia"/>
                <w:sz w:val="24"/>
                <w:szCs w:val="24"/>
              </w:rPr>
              <w:t>1</w:t>
            </w:r>
            <w:r>
              <w:rPr>
                <w:sz w:val="24"/>
                <w:szCs w:val="24"/>
              </w:rPr>
              <w:t>,</w:t>
            </w:r>
            <w:r>
              <w:rPr>
                <w:rFonts w:hint="eastAsia"/>
                <w:sz w:val="24"/>
                <w:szCs w:val="24"/>
              </w:rPr>
              <w:t>101</w:t>
            </w:r>
            <w:r>
              <w:rPr>
                <w:rFonts w:ascii="Times New Roman" w:hAnsi="Times New Roman" w:cs="Times New Roman"/>
                <w:sz w:val="24"/>
                <w:szCs w:val="24"/>
              </w:rPr>
              <w:t>.</w:t>
            </w:r>
            <w:r>
              <w:rPr>
                <w:rFonts w:ascii="Times New Roman" w:hAnsi="Times New Roman" w:cs="Times New Roman" w:hint="eastAsia"/>
                <w:sz w:val="24"/>
                <w:szCs w:val="24"/>
              </w:rPr>
              <w:t>77</w:t>
            </w:r>
          </w:p>
        </w:tc>
      </w:tr>
      <w:tr w:rsidR="001C7195">
        <w:trPr>
          <w:jc w:val="center"/>
        </w:trPr>
        <w:tc>
          <w:tcPr>
            <w:tcW w:w="5780" w:type="dxa"/>
            <w:shd w:val="clear" w:color="auto" w:fill="FFFFFF" w:themeFill="background1"/>
          </w:tcPr>
          <w:p w:rsidR="001C7195" w:rsidRDefault="00BE19F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中信建投中证</w:t>
            </w:r>
            <w:r>
              <w:rPr>
                <w:rFonts w:ascii="Times New Roman" w:hAnsi="Times New Roman" w:cs="Times New Roman" w:hint="eastAsia"/>
                <w:sz w:val="24"/>
                <w:szCs w:val="24"/>
              </w:rPr>
              <w:t>500</w:t>
            </w:r>
            <w:r>
              <w:rPr>
                <w:rFonts w:ascii="Times New Roman" w:hAnsi="Times New Roman" w:cs="Times New Roman" w:hint="eastAsia"/>
                <w:sz w:val="24"/>
                <w:szCs w:val="24"/>
              </w:rPr>
              <w:t>指数增强型证券投资基金</w:t>
            </w:r>
          </w:p>
        </w:tc>
        <w:tc>
          <w:tcPr>
            <w:tcW w:w="1276" w:type="dxa"/>
          </w:tcPr>
          <w:p w:rsidR="001C7195" w:rsidRDefault="00BE19F0">
            <w:pPr>
              <w:spacing w:line="360" w:lineRule="auto"/>
              <w:jc w:val="right"/>
              <w:rPr>
                <w:sz w:val="24"/>
                <w:szCs w:val="24"/>
              </w:rPr>
            </w:pPr>
            <w:r>
              <w:rPr>
                <w:rFonts w:hint="eastAsia"/>
                <w:sz w:val="24"/>
                <w:szCs w:val="24"/>
              </w:rPr>
              <w:t>6</w:t>
            </w:r>
            <w:r>
              <w:rPr>
                <w:sz w:val="24"/>
                <w:szCs w:val="24"/>
              </w:rPr>
              <w:t>,</w:t>
            </w:r>
            <w:r>
              <w:rPr>
                <w:rFonts w:hint="eastAsia"/>
                <w:sz w:val="24"/>
                <w:szCs w:val="24"/>
              </w:rPr>
              <w:t>740</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261</w:t>
            </w:r>
            <w:r>
              <w:rPr>
                <w:sz w:val="24"/>
                <w:szCs w:val="24"/>
              </w:rPr>
              <w:t>,</w:t>
            </w:r>
            <w:r>
              <w:rPr>
                <w:rFonts w:hint="eastAsia"/>
                <w:sz w:val="24"/>
                <w:szCs w:val="24"/>
              </w:rPr>
              <w:t>983</w:t>
            </w:r>
            <w:r>
              <w:rPr>
                <w:sz w:val="24"/>
                <w:szCs w:val="24"/>
              </w:rPr>
              <w:t>.</w:t>
            </w:r>
            <w:r>
              <w:rPr>
                <w:rFonts w:hint="eastAsia"/>
                <w:sz w:val="24"/>
                <w:szCs w:val="24"/>
              </w:rPr>
              <w:t>80</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1</w:t>
            </w:r>
            <w:r>
              <w:rPr>
                <w:sz w:val="24"/>
                <w:szCs w:val="24"/>
              </w:rPr>
              <w:t>,</w:t>
            </w:r>
            <w:r>
              <w:rPr>
                <w:rFonts w:hint="eastAsia"/>
                <w:sz w:val="24"/>
                <w:szCs w:val="24"/>
              </w:rPr>
              <w:t>309</w:t>
            </w:r>
            <w:r>
              <w:rPr>
                <w:rFonts w:ascii="Times New Roman" w:hAnsi="Times New Roman" w:cs="Times New Roman"/>
                <w:sz w:val="24"/>
                <w:szCs w:val="24"/>
              </w:rPr>
              <w:t>.</w:t>
            </w:r>
            <w:r>
              <w:rPr>
                <w:rFonts w:ascii="Times New Roman" w:hAnsi="Times New Roman" w:cs="Times New Roman" w:hint="eastAsia"/>
                <w:sz w:val="24"/>
                <w:szCs w:val="24"/>
              </w:rPr>
              <w:t>92</w:t>
            </w:r>
          </w:p>
        </w:tc>
      </w:tr>
      <w:tr w:rsidR="001C7195">
        <w:trPr>
          <w:jc w:val="center"/>
        </w:trPr>
        <w:tc>
          <w:tcPr>
            <w:tcW w:w="5780" w:type="dxa"/>
            <w:shd w:val="clear" w:color="auto" w:fill="FFFFFF" w:themeFill="background1"/>
          </w:tcPr>
          <w:p w:rsidR="001C7195" w:rsidRDefault="00BE19F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中信建投量化进取</w:t>
            </w:r>
            <w:r>
              <w:rPr>
                <w:rFonts w:ascii="Times New Roman" w:hAnsi="Times New Roman" w:cs="Times New Roman" w:hint="eastAsia"/>
                <w:sz w:val="24"/>
                <w:szCs w:val="24"/>
              </w:rPr>
              <w:t>6</w:t>
            </w:r>
            <w:r>
              <w:rPr>
                <w:rFonts w:ascii="Times New Roman" w:hAnsi="Times New Roman" w:cs="Times New Roman" w:hint="eastAsia"/>
                <w:sz w:val="24"/>
                <w:szCs w:val="24"/>
              </w:rPr>
              <w:t>个月持有期混合型证券投资基金</w:t>
            </w:r>
          </w:p>
        </w:tc>
        <w:tc>
          <w:tcPr>
            <w:tcW w:w="1276" w:type="dxa"/>
          </w:tcPr>
          <w:p w:rsidR="001C7195" w:rsidRDefault="00BE19F0">
            <w:pPr>
              <w:spacing w:line="360" w:lineRule="auto"/>
              <w:jc w:val="right"/>
              <w:rPr>
                <w:sz w:val="24"/>
                <w:szCs w:val="24"/>
              </w:rPr>
            </w:pPr>
            <w:r>
              <w:rPr>
                <w:rFonts w:hint="eastAsia"/>
                <w:sz w:val="24"/>
                <w:szCs w:val="24"/>
              </w:rPr>
              <w:t>8</w:t>
            </w:r>
            <w:r>
              <w:rPr>
                <w:sz w:val="24"/>
                <w:szCs w:val="24"/>
              </w:rPr>
              <w:t>,</w:t>
            </w:r>
            <w:r>
              <w:rPr>
                <w:rFonts w:hint="eastAsia"/>
                <w:sz w:val="24"/>
                <w:szCs w:val="24"/>
              </w:rPr>
              <w:t>928</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347</w:t>
            </w:r>
            <w:r>
              <w:rPr>
                <w:sz w:val="24"/>
                <w:szCs w:val="24"/>
              </w:rPr>
              <w:t>,</w:t>
            </w:r>
            <w:r>
              <w:rPr>
                <w:rFonts w:hint="eastAsia"/>
                <w:sz w:val="24"/>
                <w:szCs w:val="24"/>
              </w:rPr>
              <w:t>031</w:t>
            </w:r>
            <w:r>
              <w:rPr>
                <w:sz w:val="24"/>
                <w:szCs w:val="24"/>
              </w:rPr>
              <w:t>.</w:t>
            </w:r>
            <w:r>
              <w:rPr>
                <w:rFonts w:hint="eastAsia"/>
                <w:sz w:val="24"/>
                <w:szCs w:val="24"/>
              </w:rPr>
              <w:t>36</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1</w:t>
            </w:r>
            <w:r>
              <w:rPr>
                <w:sz w:val="24"/>
                <w:szCs w:val="24"/>
              </w:rPr>
              <w:t>,</w:t>
            </w:r>
            <w:r>
              <w:rPr>
                <w:rFonts w:hint="eastAsia"/>
                <w:sz w:val="24"/>
                <w:szCs w:val="24"/>
              </w:rPr>
              <w:t>735</w:t>
            </w:r>
            <w:r>
              <w:rPr>
                <w:rFonts w:ascii="Times New Roman" w:hAnsi="Times New Roman" w:cs="Times New Roman"/>
                <w:sz w:val="24"/>
                <w:szCs w:val="24"/>
              </w:rPr>
              <w:t>.</w:t>
            </w:r>
            <w:r>
              <w:rPr>
                <w:rFonts w:ascii="Times New Roman" w:hAnsi="Times New Roman" w:cs="Times New Roman" w:hint="eastAsia"/>
                <w:sz w:val="24"/>
                <w:szCs w:val="24"/>
              </w:rPr>
              <w:t>16</w:t>
            </w:r>
          </w:p>
        </w:tc>
      </w:tr>
      <w:tr w:rsidR="001C7195">
        <w:trPr>
          <w:jc w:val="center"/>
        </w:trPr>
        <w:tc>
          <w:tcPr>
            <w:tcW w:w="5780" w:type="dxa"/>
            <w:shd w:val="clear" w:color="auto" w:fill="FFFFFF" w:themeFill="background1"/>
          </w:tcPr>
          <w:p w:rsidR="001C7195" w:rsidRDefault="00BE19F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中信建投量化精选</w:t>
            </w:r>
            <w:r>
              <w:rPr>
                <w:rFonts w:ascii="Times New Roman" w:hAnsi="Times New Roman" w:cs="Times New Roman" w:hint="eastAsia"/>
                <w:sz w:val="24"/>
                <w:szCs w:val="24"/>
              </w:rPr>
              <w:t>6</w:t>
            </w:r>
            <w:r>
              <w:rPr>
                <w:rFonts w:ascii="Times New Roman" w:hAnsi="Times New Roman" w:cs="Times New Roman" w:hint="eastAsia"/>
                <w:sz w:val="24"/>
                <w:szCs w:val="24"/>
              </w:rPr>
              <w:t>个月持有期混合型证券投资基金</w:t>
            </w:r>
          </w:p>
        </w:tc>
        <w:tc>
          <w:tcPr>
            <w:tcW w:w="1276" w:type="dxa"/>
          </w:tcPr>
          <w:p w:rsidR="001C7195" w:rsidRDefault="00BE19F0">
            <w:pPr>
              <w:spacing w:line="360" w:lineRule="auto"/>
              <w:jc w:val="right"/>
              <w:rPr>
                <w:sz w:val="24"/>
                <w:szCs w:val="24"/>
              </w:rPr>
            </w:pPr>
            <w:r>
              <w:rPr>
                <w:rFonts w:hint="eastAsia"/>
                <w:sz w:val="24"/>
                <w:szCs w:val="24"/>
              </w:rPr>
              <w:t>8</w:t>
            </w:r>
            <w:r>
              <w:rPr>
                <w:sz w:val="24"/>
                <w:szCs w:val="24"/>
              </w:rPr>
              <w:t>,</w:t>
            </w:r>
            <w:r>
              <w:rPr>
                <w:rFonts w:hint="eastAsia"/>
                <w:sz w:val="24"/>
                <w:szCs w:val="24"/>
              </w:rPr>
              <w:t>704</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338</w:t>
            </w:r>
            <w:r>
              <w:rPr>
                <w:sz w:val="24"/>
                <w:szCs w:val="24"/>
              </w:rPr>
              <w:t>,</w:t>
            </w:r>
            <w:r>
              <w:rPr>
                <w:rFonts w:hint="eastAsia"/>
                <w:sz w:val="24"/>
                <w:szCs w:val="24"/>
              </w:rPr>
              <w:t>324</w:t>
            </w:r>
            <w:r>
              <w:rPr>
                <w:sz w:val="24"/>
                <w:szCs w:val="24"/>
              </w:rPr>
              <w:t>.</w:t>
            </w:r>
            <w:r>
              <w:rPr>
                <w:rFonts w:hint="eastAsia"/>
                <w:sz w:val="24"/>
                <w:szCs w:val="24"/>
              </w:rPr>
              <w:t>48</w:t>
            </w:r>
          </w:p>
        </w:tc>
        <w:tc>
          <w:tcPr>
            <w:tcW w:w="1701" w:type="dxa"/>
          </w:tcPr>
          <w:p w:rsidR="001C7195" w:rsidRDefault="00BE19F0">
            <w:pPr>
              <w:spacing w:line="360" w:lineRule="auto"/>
              <w:jc w:val="right"/>
              <w:rPr>
                <w:rFonts w:ascii="Times New Roman" w:hAnsi="Times New Roman" w:cs="Times New Roman"/>
                <w:sz w:val="24"/>
                <w:szCs w:val="24"/>
              </w:rPr>
            </w:pPr>
            <w:r>
              <w:rPr>
                <w:rFonts w:hint="eastAsia"/>
                <w:sz w:val="24"/>
                <w:szCs w:val="24"/>
              </w:rPr>
              <w:t>1</w:t>
            </w:r>
            <w:r>
              <w:rPr>
                <w:sz w:val="24"/>
                <w:szCs w:val="24"/>
              </w:rPr>
              <w:t>,</w:t>
            </w:r>
            <w:r>
              <w:rPr>
                <w:rFonts w:hint="eastAsia"/>
                <w:sz w:val="24"/>
                <w:szCs w:val="24"/>
              </w:rPr>
              <w:t>691</w:t>
            </w:r>
            <w:r>
              <w:rPr>
                <w:rFonts w:ascii="Times New Roman" w:hAnsi="Times New Roman" w:cs="Times New Roman"/>
                <w:sz w:val="24"/>
                <w:szCs w:val="24"/>
              </w:rPr>
              <w:t>.</w:t>
            </w:r>
            <w:r>
              <w:rPr>
                <w:rFonts w:ascii="Times New Roman" w:hAnsi="Times New Roman" w:cs="Times New Roman" w:hint="eastAsia"/>
                <w:sz w:val="24"/>
                <w:szCs w:val="24"/>
              </w:rPr>
              <w:t>62</w:t>
            </w:r>
          </w:p>
        </w:tc>
      </w:tr>
    </w:tbl>
    <w:p w:rsidR="001C7195" w:rsidRDefault="00BE19F0">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注：上述基金新股配售经纪佣金费率为其获配金额的</w:t>
      </w:r>
      <w:r>
        <w:rPr>
          <w:rFonts w:ascii="Times New Roman" w:hAnsi="Times New Roman" w:cs="Times New Roman"/>
          <w:sz w:val="24"/>
          <w:szCs w:val="24"/>
        </w:rPr>
        <w:t>0.5</w:t>
      </w:r>
      <w:r>
        <w:rPr>
          <w:rFonts w:ascii="Times New Roman" w:hAnsi="Times New Roman" w:cs="Times New Roman" w:hint="eastAsia"/>
          <w:sz w:val="24"/>
          <w:szCs w:val="24"/>
        </w:rPr>
        <w:t>0</w:t>
      </w:r>
      <w:r>
        <w:rPr>
          <w:rFonts w:ascii="Times New Roman" w:hAnsi="Times New Roman" w:cs="Times New Roman"/>
          <w:sz w:val="24"/>
          <w:szCs w:val="24"/>
        </w:rPr>
        <w:t>%</w:t>
      </w:r>
      <w:r>
        <w:rPr>
          <w:rFonts w:ascii="Times New Roman" w:hAnsi="Times New Roman" w:cs="Times New Roman" w:hint="eastAsia"/>
          <w:sz w:val="24"/>
          <w:szCs w:val="24"/>
        </w:rPr>
        <w:t>。</w:t>
      </w:r>
    </w:p>
    <w:p w:rsidR="00EE4C9B" w:rsidRDefault="00EE4C9B">
      <w:pPr>
        <w:spacing w:line="360" w:lineRule="auto"/>
        <w:ind w:firstLineChars="200" w:firstLine="480"/>
        <w:jc w:val="left"/>
        <w:rPr>
          <w:rFonts w:ascii="Times New Roman" w:hAnsi="Times New Roman" w:cs="Times New Roman"/>
          <w:sz w:val="24"/>
          <w:szCs w:val="24"/>
        </w:rPr>
      </w:pPr>
    </w:p>
    <w:p w:rsidR="001C7195" w:rsidRDefault="00BE19F0">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lastRenderedPageBreak/>
        <w:t>投资者可访问本公司网站（</w:t>
      </w:r>
      <w:r>
        <w:rPr>
          <w:rFonts w:ascii="Times New Roman" w:hAnsi="Times New Roman" w:cs="Times New Roman"/>
          <w:sz w:val="24"/>
          <w:szCs w:val="24"/>
        </w:rPr>
        <w:t>www.cfund108.com</w:t>
      </w:r>
      <w:r>
        <w:rPr>
          <w:rFonts w:ascii="Times New Roman" w:hAnsi="Times New Roman" w:cs="Times New Roman" w:hint="eastAsia"/>
          <w:sz w:val="24"/>
          <w:szCs w:val="24"/>
        </w:rPr>
        <w:t>），或拨打客户服务电话</w:t>
      </w:r>
      <w:r>
        <w:rPr>
          <w:rFonts w:ascii="Times New Roman" w:hAnsi="Times New Roman" w:cs="Times New Roman"/>
          <w:sz w:val="24"/>
          <w:szCs w:val="24"/>
        </w:rPr>
        <w:t>4009-108-108</w:t>
      </w:r>
      <w:r>
        <w:rPr>
          <w:rFonts w:ascii="Times New Roman" w:hAnsi="Times New Roman" w:cs="Times New Roman" w:hint="eastAsia"/>
          <w:sz w:val="24"/>
          <w:szCs w:val="24"/>
        </w:rPr>
        <w:t>咨询相关情况。</w:t>
      </w:r>
    </w:p>
    <w:p w:rsidR="001C7195" w:rsidRDefault="00BE19F0">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特此公告。</w:t>
      </w:r>
    </w:p>
    <w:p w:rsidR="001C7195" w:rsidRDefault="00BE19F0">
      <w:pPr>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中信建投基金管理有限公司</w:t>
      </w:r>
    </w:p>
    <w:p w:rsidR="001C7195" w:rsidRDefault="00BE19F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2021 </w:t>
      </w:r>
      <w:r>
        <w:rPr>
          <w:rFonts w:ascii="Times New Roman" w:hAnsi="Times New Roman" w:cs="Times New Roman" w:hint="eastAsia"/>
          <w:sz w:val="24"/>
          <w:szCs w:val="24"/>
        </w:rPr>
        <w:t>年</w:t>
      </w:r>
      <w:r>
        <w:rPr>
          <w:rFonts w:ascii="Times New Roman" w:hAnsi="Times New Roman" w:cs="Times New Roman" w:hint="eastAsia"/>
          <w:sz w:val="24"/>
          <w:szCs w:val="24"/>
        </w:rPr>
        <w:t>10</w:t>
      </w:r>
      <w:r>
        <w:rPr>
          <w:rFonts w:ascii="Times New Roman" w:hAnsi="Times New Roman" w:cs="Times New Roman" w:hint="eastAsia"/>
          <w:sz w:val="24"/>
          <w:szCs w:val="24"/>
        </w:rPr>
        <w:t>月</w:t>
      </w:r>
      <w:r>
        <w:rPr>
          <w:rFonts w:ascii="Times New Roman" w:hAnsi="Times New Roman" w:cs="Times New Roman" w:hint="eastAsia"/>
          <w:sz w:val="24"/>
          <w:szCs w:val="24"/>
        </w:rPr>
        <w:t>16</w:t>
      </w:r>
      <w:r>
        <w:rPr>
          <w:rFonts w:ascii="Times New Roman" w:hAnsi="Times New Roman" w:cs="Times New Roman" w:hint="eastAsia"/>
          <w:sz w:val="24"/>
          <w:szCs w:val="24"/>
        </w:rPr>
        <w:t>日</w:t>
      </w:r>
    </w:p>
    <w:sectPr w:rsidR="001C7195" w:rsidSect="006F08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9F0" w:rsidRDefault="00BE19F0"/>
  </w:endnote>
  <w:endnote w:type="continuationSeparator" w:id="0">
    <w:p w:rsidR="00BE19F0" w:rsidRDefault="00BE1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9F0" w:rsidRDefault="00BE19F0"/>
  </w:footnote>
  <w:footnote w:type="continuationSeparator" w:id="0">
    <w:p w:rsidR="00BE19F0" w:rsidRDefault="00BE19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07E9"/>
    <w:rsid w:val="000077EE"/>
    <w:rsid w:val="00032B51"/>
    <w:rsid w:val="00053B2F"/>
    <w:rsid w:val="000678A3"/>
    <w:rsid w:val="000A1142"/>
    <w:rsid w:val="000B09C8"/>
    <w:rsid w:val="000B0F55"/>
    <w:rsid w:val="000B6654"/>
    <w:rsid w:val="00160133"/>
    <w:rsid w:val="001C7195"/>
    <w:rsid w:val="001D6E6D"/>
    <w:rsid w:val="001E06D6"/>
    <w:rsid w:val="00237664"/>
    <w:rsid w:val="00241166"/>
    <w:rsid w:val="00241641"/>
    <w:rsid w:val="00271B13"/>
    <w:rsid w:val="00272D57"/>
    <w:rsid w:val="00282537"/>
    <w:rsid w:val="002D5829"/>
    <w:rsid w:val="003023C3"/>
    <w:rsid w:val="00375CA8"/>
    <w:rsid w:val="00396883"/>
    <w:rsid w:val="003C3BB4"/>
    <w:rsid w:val="003E2884"/>
    <w:rsid w:val="003F5292"/>
    <w:rsid w:val="00403EB1"/>
    <w:rsid w:val="004160A8"/>
    <w:rsid w:val="00445900"/>
    <w:rsid w:val="00456D0B"/>
    <w:rsid w:val="004B4756"/>
    <w:rsid w:val="004E5844"/>
    <w:rsid w:val="004F1B91"/>
    <w:rsid w:val="0054002B"/>
    <w:rsid w:val="00574C0D"/>
    <w:rsid w:val="00577CD9"/>
    <w:rsid w:val="005C3EAA"/>
    <w:rsid w:val="005E7E77"/>
    <w:rsid w:val="00623172"/>
    <w:rsid w:val="00696ECC"/>
    <w:rsid w:val="006B7C62"/>
    <w:rsid w:val="006C44A4"/>
    <w:rsid w:val="006F081E"/>
    <w:rsid w:val="00734F4D"/>
    <w:rsid w:val="007628AE"/>
    <w:rsid w:val="00762BDC"/>
    <w:rsid w:val="007D5AEE"/>
    <w:rsid w:val="00810D1E"/>
    <w:rsid w:val="008D27B3"/>
    <w:rsid w:val="00913D20"/>
    <w:rsid w:val="0092081A"/>
    <w:rsid w:val="00937AC4"/>
    <w:rsid w:val="00974183"/>
    <w:rsid w:val="00974A20"/>
    <w:rsid w:val="009822B4"/>
    <w:rsid w:val="009D7DA3"/>
    <w:rsid w:val="009E1F49"/>
    <w:rsid w:val="00A76370"/>
    <w:rsid w:val="00AC06F6"/>
    <w:rsid w:val="00AF4479"/>
    <w:rsid w:val="00B123DD"/>
    <w:rsid w:val="00B4028C"/>
    <w:rsid w:val="00B76CAD"/>
    <w:rsid w:val="00BC4592"/>
    <w:rsid w:val="00BE19F0"/>
    <w:rsid w:val="00C014B6"/>
    <w:rsid w:val="00C24EA9"/>
    <w:rsid w:val="00C44676"/>
    <w:rsid w:val="00CA600E"/>
    <w:rsid w:val="00CB15FD"/>
    <w:rsid w:val="00CB1B22"/>
    <w:rsid w:val="00CD0824"/>
    <w:rsid w:val="00CE635F"/>
    <w:rsid w:val="00CF584C"/>
    <w:rsid w:val="00CF76DC"/>
    <w:rsid w:val="00D14F0C"/>
    <w:rsid w:val="00D152D8"/>
    <w:rsid w:val="00D7647F"/>
    <w:rsid w:val="00DD0431"/>
    <w:rsid w:val="00E01189"/>
    <w:rsid w:val="00E05F44"/>
    <w:rsid w:val="00E11A88"/>
    <w:rsid w:val="00E16A04"/>
    <w:rsid w:val="00E24040"/>
    <w:rsid w:val="00E45927"/>
    <w:rsid w:val="00E507E9"/>
    <w:rsid w:val="00E551CF"/>
    <w:rsid w:val="00E75A1E"/>
    <w:rsid w:val="00E84E2F"/>
    <w:rsid w:val="00EC4E2F"/>
    <w:rsid w:val="00ED4306"/>
    <w:rsid w:val="00EE4C9B"/>
    <w:rsid w:val="00EF1428"/>
    <w:rsid w:val="00F81641"/>
    <w:rsid w:val="00FE10B0"/>
    <w:rsid w:val="0AAE2645"/>
    <w:rsid w:val="0EE759CC"/>
    <w:rsid w:val="3FF20E50"/>
    <w:rsid w:val="53193EB0"/>
    <w:rsid w:val="64A01939"/>
    <w:rsid w:val="6DF73032"/>
    <w:rsid w:val="7ADD70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1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F081E"/>
    <w:rPr>
      <w:sz w:val="18"/>
      <w:szCs w:val="18"/>
    </w:rPr>
  </w:style>
  <w:style w:type="paragraph" w:styleId="a4">
    <w:name w:val="footer"/>
    <w:basedOn w:val="a"/>
    <w:link w:val="Char0"/>
    <w:uiPriority w:val="99"/>
    <w:unhideWhenUsed/>
    <w:qFormat/>
    <w:rsid w:val="006F081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F081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6F08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6F081E"/>
    <w:rPr>
      <w:sz w:val="18"/>
      <w:szCs w:val="18"/>
    </w:rPr>
  </w:style>
  <w:style w:type="character" w:customStyle="1" w:styleId="Char0">
    <w:name w:val="页脚 Char"/>
    <w:basedOn w:val="a0"/>
    <w:link w:val="a4"/>
    <w:uiPriority w:val="99"/>
    <w:qFormat/>
    <w:rsid w:val="006F081E"/>
    <w:rPr>
      <w:sz w:val="18"/>
      <w:szCs w:val="18"/>
    </w:rPr>
  </w:style>
  <w:style w:type="character" w:customStyle="1" w:styleId="Char">
    <w:name w:val="批注框文本 Char"/>
    <w:basedOn w:val="a0"/>
    <w:link w:val="a3"/>
    <w:uiPriority w:val="99"/>
    <w:semiHidden/>
    <w:qFormat/>
    <w:rsid w:val="006F081E"/>
    <w:rPr>
      <w:kern w:val="2"/>
      <w:sz w:val="18"/>
      <w:szCs w:val="18"/>
    </w:rPr>
  </w:style>
  <w:style w:type="paragraph" w:customStyle="1" w:styleId="1">
    <w:name w:val="修订1"/>
    <w:hidden/>
    <w:uiPriority w:val="99"/>
    <w:semiHidden/>
    <w:qFormat/>
    <w:rsid w:val="006F081E"/>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4</DocSecurity>
  <Lines>7</Lines>
  <Paragraphs>2</Paragraphs>
  <ScaleCrop>false</ScaleCrop>
  <Company>Organization Name</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sunwen</dc:creator>
  <cp:lastModifiedBy>ZHONGM</cp:lastModifiedBy>
  <cp:revision>2</cp:revision>
  <cp:lastPrinted>2021-10-15T01:44:00Z</cp:lastPrinted>
  <dcterms:created xsi:type="dcterms:W3CDTF">2021-10-15T16:00:00Z</dcterms:created>
  <dcterms:modified xsi:type="dcterms:W3CDTF">2021-10-15T16:00:00Z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