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651" w:rsidRDefault="003509E2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银华基金管理股份有限公司</w:t>
      </w:r>
    </w:p>
    <w:p w:rsidR="004D2651" w:rsidRDefault="003509E2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关于对旗下部分基金于</w:t>
      </w:r>
      <w:r>
        <w:rPr>
          <w:rFonts w:ascii="宋体" w:hAnsi="宋体" w:hint="eastAsia"/>
          <w:b/>
          <w:sz w:val="28"/>
          <w:szCs w:val="28"/>
        </w:rPr>
        <w:t>2021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日的申购、赎回、</w:t>
      </w:r>
      <w:r>
        <w:rPr>
          <w:rFonts w:ascii="宋体" w:hAnsi="宋体"/>
          <w:b/>
          <w:sz w:val="28"/>
          <w:szCs w:val="28"/>
        </w:rPr>
        <w:t>转换</w:t>
      </w:r>
      <w:r>
        <w:rPr>
          <w:rFonts w:ascii="宋体" w:hAnsi="宋体" w:hint="eastAsia"/>
          <w:b/>
          <w:sz w:val="28"/>
          <w:szCs w:val="28"/>
        </w:rPr>
        <w:t>（如有）及定期定额投资业务申请作无效处理的公告</w:t>
      </w:r>
    </w:p>
    <w:p w:rsidR="004D2651" w:rsidRDefault="004D2651">
      <w:pPr>
        <w:ind w:left="2100" w:firstLine="420"/>
        <w:rPr>
          <w:rFonts w:ascii="宋体" w:hAnsi="宋体"/>
          <w:b/>
          <w:sz w:val="22"/>
          <w:szCs w:val="28"/>
        </w:rPr>
      </w:pPr>
    </w:p>
    <w:p w:rsidR="004D2651" w:rsidRDefault="003509E2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根据银华基金管理股份有限公司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以下</w:t>
      </w:r>
      <w:r>
        <w:rPr>
          <w:rFonts w:ascii="宋体" w:hAnsi="宋体"/>
          <w:sz w:val="24"/>
          <w:szCs w:val="24"/>
        </w:rPr>
        <w:t>简称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本基金管理人”）旗下</w:t>
      </w:r>
      <w:r>
        <w:rPr>
          <w:rFonts w:ascii="宋体" w:hAnsi="宋体"/>
          <w:sz w:val="24"/>
          <w:szCs w:val="24"/>
        </w:rPr>
        <w:t>部分基金</w:t>
      </w:r>
      <w:r>
        <w:rPr>
          <w:rFonts w:ascii="宋体" w:hAnsi="宋体" w:hint="eastAsia"/>
          <w:sz w:val="24"/>
          <w:szCs w:val="24"/>
        </w:rPr>
        <w:t>基金合同和招募说明书的有关规定</w:t>
      </w:r>
      <w:r>
        <w:rPr>
          <w:rFonts w:ascii="宋体" w:hAnsi="宋体"/>
          <w:sz w:val="24"/>
          <w:szCs w:val="24"/>
        </w:rPr>
        <w:t>及投资运作情况</w:t>
      </w:r>
      <w:r>
        <w:rPr>
          <w:rFonts w:ascii="宋体" w:hAnsi="宋体" w:hint="eastAsia"/>
          <w:sz w:val="24"/>
          <w:szCs w:val="24"/>
        </w:rPr>
        <w:t>，投资人在开放日办理基金份额的申购和赎回业务。鉴于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日香港</w:t>
      </w:r>
      <w:r>
        <w:rPr>
          <w:rFonts w:ascii="宋体" w:hAnsi="宋体"/>
          <w:sz w:val="24"/>
          <w:szCs w:val="24"/>
        </w:rPr>
        <w:t>联合交易所因台风临时休市，</w:t>
      </w:r>
      <w:r>
        <w:rPr>
          <w:rFonts w:ascii="宋体" w:hAnsi="宋体" w:hint="eastAsia"/>
          <w:sz w:val="24"/>
          <w:szCs w:val="24"/>
        </w:rPr>
        <w:t>本基金管理人决定对于投资者于</w:t>
      </w:r>
      <w:r>
        <w:rPr>
          <w:rFonts w:ascii="宋体" w:hAnsi="宋体" w:hint="eastAsia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日提交的下列基金申购、赎回、</w:t>
      </w:r>
      <w:r>
        <w:rPr>
          <w:rFonts w:ascii="宋体" w:hAnsi="宋体"/>
          <w:sz w:val="24"/>
          <w:szCs w:val="24"/>
        </w:rPr>
        <w:t>转换（</w:t>
      </w:r>
      <w:r>
        <w:rPr>
          <w:rFonts w:ascii="宋体" w:hAnsi="宋体" w:hint="eastAsia"/>
          <w:sz w:val="24"/>
          <w:szCs w:val="24"/>
        </w:rPr>
        <w:t>如有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及定期定额投资业务申请，全部作无效处理，申购和定期定额投资款项将退回投资者账户。</w:t>
      </w:r>
    </w:p>
    <w:p w:rsidR="004D2651" w:rsidRDefault="003509E2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基金作无效</w:t>
      </w:r>
      <w:r>
        <w:rPr>
          <w:rFonts w:ascii="宋体" w:hAnsi="宋体"/>
          <w:sz w:val="24"/>
          <w:szCs w:val="24"/>
        </w:rPr>
        <w:t>处理</w:t>
      </w:r>
      <w:r>
        <w:rPr>
          <w:rFonts w:ascii="宋体" w:hAnsi="宋体" w:hint="eastAsia"/>
          <w:sz w:val="24"/>
          <w:szCs w:val="24"/>
        </w:rPr>
        <w:t>相关业务如下表所示：</w:t>
      </w:r>
    </w:p>
    <w:tbl>
      <w:tblPr>
        <w:tblStyle w:val="a8"/>
        <w:tblW w:w="0" w:type="auto"/>
        <w:jc w:val="center"/>
        <w:tblLook w:val="04A0"/>
      </w:tblPr>
      <w:tblGrid>
        <w:gridCol w:w="1970"/>
        <w:gridCol w:w="1110"/>
        <w:gridCol w:w="1085"/>
        <w:gridCol w:w="1124"/>
        <w:gridCol w:w="1204"/>
        <w:gridCol w:w="1177"/>
        <w:gridCol w:w="1145"/>
      </w:tblGrid>
      <w:tr w:rsidR="004D2651">
        <w:trPr>
          <w:trHeight w:val="411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基金</w:t>
            </w:r>
            <w:r>
              <w:t>代码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申购</w:t>
            </w:r>
            <w:r>
              <w:t>业务是否作无效处理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赎回</w:t>
            </w:r>
            <w:r>
              <w:t>业务是否作无效处理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定期定额</w:t>
            </w:r>
            <w:r>
              <w:t>投资业务是否作无效处理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转换转入</w:t>
            </w:r>
            <w:r>
              <w:t>业务是否作无效处理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转换转出</w:t>
            </w:r>
            <w:r>
              <w:t>业务是否作无效处理</w:t>
            </w:r>
          </w:p>
        </w:tc>
      </w:tr>
      <w:tr w:rsidR="004D2651">
        <w:trPr>
          <w:trHeight w:val="673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银华全球核心优选证券投资基金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1</w:t>
            </w:r>
            <w:r>
              <w:t>83001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trHeight w:val="574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银华抗通胀主题证券投资基金</w:t>
            </w:r>
            <w:r>
              <w:rPr>
                <w:rFonts w:ascii="宋体" w:hAnsi="宋体" w:hint="eastAsia"/>
                <w:szCs w:val="21"/>
              </w:rPr>
              <w:t>(LOF)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1</w:t>
            </w:r>
            <w:r>
              <w:t>61815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trHeight w:val="574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银华美元债精选债券型证券投资基金（</w:t>
            </w:r>
            <w:r>
              <w:rPr>
                <w:rFonts w:ascii="宋体" w:hAnsi="宋体" w:hint="eastAsia"/>
                <w:szCs w:val="21"/>
              </w:rPr>
              <w:t>QDII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007204</w:t>
            </w:r>
          </w:p>
          <w:p w:rsidR="004D2651" w:rsidRDefault="003509E2">
            <w:pPr>
              <w:jc w:val="center"/>
            </w:pPr>
            <w:r>
              <w:t>C</w:t>
            </w:r>
            <w:r>
              <w:rPr>
                <w:rFonts w:hint="eastAsia"/>
              </w:rPr>
              <w:t>：</w:t>
            </w:r>
            <w:r>
              <w:t>007205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银华沪港深增长股票型证券投资基金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001703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  <w:rPr>
                <w:b/>
              </w:rPr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银华估值优势混合型证券投资基金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005250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银华瑞泰灵活配置混合型证券投资基金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005481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  <w:rPr>
                <w:b/>
              </w:rPr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银华心诚灵活配置混合型证券投资基金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005543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银华心怡灵活配置混合型证券投资基金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005794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银华裕利混合型发起式证券投资基金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005848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银华盛利混合型发起式证券投资基金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006348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银华远见混合型发起式证券投资基金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006610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银华汇益一年持有期混合型证券投资基金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008384</w:t>
            </w:r>
          </w:p>
          <w:p w:rsidR="004D2651" w:rsidRDefault="003509E2">
            <w:pPr>
              <w:jc w:val="center"/>
            </w:pPr>
            <w:r>
              <w:t>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008385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银华长丰混合型发起式证券投资基金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008978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银华港股通精选股票型发起式证券投资基金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009017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银华丰享一年持有期混合型证券投资基金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009085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银华富利精选混合型证券投资基金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009542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银华品质消费股票型证券投资基金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009852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银华乐享混合型证券投资基金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009859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银华多元机遇混合型证券投资基金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009960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银华招利一年持有期混合型证券投资基金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>009977</w:t>
            </w:r>
          </w:p>
          <w:p w:rsidR="004D2651" w:rsidRDefault="003509E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>
              <w:t>009978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银华心佳两年持有期混合型证券投资基金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010730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银华远兴一年持有期债券型证券投资基金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010816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银华稳健增长一年持有期混合型证券投资基金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t>0</w:t>
            </w:r>
            <w:r>
              <w:rPr>
                <w:rFonts w:hint="eastAsia"/>
              </w:rPr>
              <w:t>11405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银华消费主题混合型证券投资基金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161818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  <w:tr w:rsidR="004D2651">
        <w:trPr>
          <w:trHeight w:val="898"/>
          <w:jc w:val="center"/>
        </w:trPr>
        <w:tc>
          <w:tcPr>
            <w:tcW w:w="1970" w:type="dxa"/>
            <w:vAlign w:val="center"/>
          </w:tcPr>
          <w:p w:rsidR="004D2651" w:rsidRDefault="003509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银华恒生中国企业指数证券投资基金（</w:t>
            </w:r>
            <w:r>
              <w:rPr>
                <w:rFonts w:ascii="宋体" w:hAnsi="宋体" w:hint="eastAsia"/>
                <w:szCs w:val="21"/>
              </w:rPr>
              <w:t>QDII-LOF)</w:t>
            </w:r>
          </w:p>
        </w:tc>
        <w:tc>
          <w:tcPr>
            <w:tcW w:w="1110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161831</w:t>
            </w:r>
          </w:p>
        </w:tc>
        <w:tc>
          <w:tcPr>
            <w:tcW w:w="108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2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04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77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  <w:tc>
          <w:tcPr>
            <w:tcW w:w="1145" w:type="dxa"/>
            <w:vAlign w:val="center"/>
          </w:tcPr>
          <w:p w:rsidR="004D2651" w:rsidRDefault="003509E2">
            <w:pPr>
              <w:jc w:val="center"/>
            </w:pPr>
            <w:r>
              <w:rPr>
                <w:rFonts w:hint="eastAsia"/>
              </w:rPr>
              <w:t>不适用</w:t>
            </w:r>
          </w:p>
        </w:tc>
      </w:tr>
    </w:tbl>
    <w:p w:rsidR="004D2651" w:rsidRDefault="004D2651">
      <w:pPr>
        <w:rPr>
          <w:rFonts w:ascii="宋体" w:hAnsi="宋体"/>
          <w:bCs/>
          <w:szCs w:val="21"/>
        </w:rPr>
      </w:pPr>
    </w:p>
    <w:p w:rsidR="004D2651" w:rsidRDefault="003509E2" w:rsidP="003509E2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0" w:name="t_3_2_table"/>
      <w:bookmarkEnd w:id="0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4D2651" w:rsidRDefault="003509E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1" w:name="t_3_2_2646_a1_fm1"/>
      <w:bookmarkEnd w:id="1"/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、根据本基金管理人于</w:t>
      </w:r>
      <w:r>
        <w:rPr>
          <w:rFonts w:ascii="宋体" w:hAnsi="宋体" w:hint="eastAsia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日发布的《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银华基金管理股份有限公司关于旗下部分基金暂停及恢复申购、赎回、转换（如有）及定期定额投资业务的公告》，</w:t>
      </w:r>
      <w:r>
        <w:rPr>
          <w:rFonts w:ascii="宋体" w:hAnsi="宋体" w:hint="eastAsia"/>
          <w:sz w:val="24"/>
          <w:szCs w:val="24"/>
        </w:rPr>
        <w:t>若</w:t>
      </w:r>
      <w:r>
        <w:rPr>
          <w:rFonts w:ascii="宋体" w:hAnsi="宋体" w:hint="eastAsia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日香港联合交易所恢复正常交易，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根据本基金管理人于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日发布的《银华全球核心优选证券投资基金恢复办理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万元以下（含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万元）申购（含定期定额投资）业务的公告》，银华全球核心优选证券投资基金（基金代码：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183001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）自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2021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日起继续暂停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万元以上的大额申购（含定期定额投资）业务。届时不再另行公告，敬请投资者留意。</w:t>
      </w:r>
    </w:p>
    <w:p w:rsidR="004D2651" w:rsidRDefault="003509E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、根据本基金管理人于</w:t>
      </w:r>
      <w:r>
        <w:rPr>
          <w:rFonts w:ascii="宋体" w:hAnsi="宋体" w:hint="eastAsia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日发布的《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银华基金管理股份有限公司关于旗下部分基金暂停及恢复申购、赎回、转换（如有）及定期定额投资业务的公告》，</w:t>
      </w:r>
      <w:r>
        <w:rPr>
          <w:rFonts w:ascii="宋体" w:hAnsi="宋体" w:hint="eastAsia"/>
          <w:sz w:val="24"/>
          <w:szCs w:val="24"/>
        </w:rPr>
        <w:t>若</w:t>
      </w:r>
      <w:r>
        <w:rPr>
          <w:rFonts w:ascii="宋体" w:hAnsi="宋体" w:hint="eastAsia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日香港联合交易所恢复正常</w:t>
      </w:r>
      <w:r>
        <w:rPr>
          <w:rFonts w:ascii="宋体" w:hAnsi="宋体" w:hint="eastAsia"/>
          <w:sz w:val="24"/>
          <w:szCs w:val="24"/>
        </w:rPr>
        <w:t>交易，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本基金管理人已于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日发布公告，银华估值优势混合型证券投资基金（基金代码：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005250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）自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日起暂停非直销销售机构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万元以上的大额申购（含定期定额投资及转换转入）业务，详情请参见相关公告。自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2021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日起银华估值优势混合型证券投资基金继续暂停非直销销售机构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100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万元以上的大额申购（含定期定额投资及转换转入）业务。届时不再另行公告，敬请投资者留意。</w:t>
      </w:r>
    </w:p>
    <w:p w:rsidR="004D2651" w:rsidRDefault="003509E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、若香港联合交易所继续全天暂停交易，上述</w:t>
      </w:r>
      <w:r>
        <w:rPr>
          <w:rFonts w:ascii="宋体" w:hAnsi="宋体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也将继续暂停当日申购、赎回、转换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如有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及定期定额投资业务，详情见</w:t>
      </w:r>
      <w:r>
        <w:rPr>
          <w:rFonts w:ascii="宋体" w:hAnsi="宋体"/>
          <w:sz w:val="24"/>
          <w:szCs w:val="24"/>
        </w:rPr>
        <w:t>届时公告</w:t>
      </w:r>
      <w:r>
        <w:rPr>
          <w:rFonts w:ascii="宋体" w:hAnsi="宋体" w:hint="eastAsia"/>
          <w:sz w:val="24"/>
          <w:szCs w:val="24"/>
        </w:rPr>
        <w:t>。</w:t>
      </w:r>
    </w:p>
    <w:p w:rsidR="004D2651" w:rsidRDefault="003509E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4D2651" w:rsidRDefault="004D2651">
      <w:pPr>
        <w:spacing w:line="360" w:lineRule="auto"/>
        <w:jc w:val="left"/>
        <w:rPr>
          <w:rFonts w:ascii="宋体" w:hAnsi="宋体"/>
          <w:szCs w:val="21"/>
        </w:rPr>
      </w:pPr>
    </w:p>
    <w:p w:rsidR="004D2651" w:rsidRDefault="003509E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4D2651" w:rsidRDefault="003509E2">
      <w:pPr>
        <w:spacing w:line="360" w:lineRule="auto"/>
        <w:jc w:val="right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银华基金管理</w:t>
      </w:r>
      <w:r>
        <w:rPr>
          <w:rFonts w:ascii="宋体" w:hAnsi="宋体" w:hint="eastAsia"/>
          <w:sz w:val="24"/>
          <w:szCs w:val="21"/>
        </w:rPr>
        <w:t>股份</w:t>
      </w:r>
      <w:r>
        <w:rPr>
          <w:rFonts w:ascii="宋体" w:hAnsi="宋体"/>
          <w:sz w:val="24"/>
          <w:szCs w:val="21"/>
        </w:rPr>
        <w:t>有限公司</w:t>
      </w:r>
    </w:p>
    <w:p w:rsidR="004D2651" w:rsidRDefault="003509E2">
      <w:pPr>
        <w:spacing w:line="360" w:lineRule="auto"/>
        <w:jc w:val="righ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2021</w:t>
      </w:r>
      <w:r>
        <w:rPr>
          <w:rFonts w:ascii="宋体" w:hAnsi="宋体" w:hint="eastAsia"/>
          <w:sz w:val="24"/>
          <w:szCs w:val="21"/>
        </w:rPr>
        <w:t>年</w:t>
      </w:r>
      <w:r>
        <w:rPr>
          <w:rFonts w:ascii="宋体" w:hAnsi="宋体" w:hint="eastAsia"/>
          <w:sz w:val="24"/>
          <w:szCs w:val="21"/>
        </w:rPr>
        <w:t>10</w:t>
      </w:r>
      <w:r>
        <w:rPr>
          <w:rFonts w:ascii="宋体" w:hAnsi="宋体" w:hint="eastAsia"/>
          <w:sz w:val="24"/>
          <w:szCs w:val="21"/>
        </w:rPr>
        <w:t>月</w:t>
      </w:r>
      <w:r>
        <w:rPr>
          <w:rFonts w:ascii="宋体" w:hAnsi="宋体" w:hint="eastAsia"/>
          <w:sz w:val="24"/>
          <w:szCs w:val="21"/>
        </w:rPr>
        <w:t>13</w:t>
      </w:r>
      <w:r>
        <w:rPr>
          <w:rFonts w:ascii="宋体" w:hAnsi="宋体" w:hint="eastAsia"/>
          <w:sz w:val="24"/>
          <w:szCs w:val="21"/>
        </w:rPr>
        <w:t>日</w:t>
      </w:r>
      <w:bookmarkStart w:id="2" w:name="_GoBack"/>
      <w:bookmarkEnd w:id="2"/>
    </w:p>
    <w:sectPr w:rsidR="004D2651" w:rsidSect="004D2651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51" w:rsidRDefault="004D2651" w:rsidP="004D2651">
      <w:r>
        <w:separator/>
      </w:r>
    </w:p>
  </w:endnote>
  <w:endnote w:type="continuationSeparator" w:id="0">
    <w:p w:rsidR="004D2651" w:rsidRDefault="004D2651" w:rsidP="004D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51" w:rsidRDefault="003509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4D2651">
      <w:fldChar w:fldCharType="begin"/>
    </w:r>
    <w:r>
      <w:instrText xml:space="preserve"> PAGE   \* MERGEFORMAT </w:instrText>
    </w:r>
    <w:r w:rsidR="004D2651">
      <w:fldChar w:fldCharType="separate"/>
    </w:r>
    <w:r>
      <w:rPr>
        <w:noProof/>
      </w:rPr>
      <w:t>1</w:t>
    </w:r>
    <w:r w:rsidR="004D265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t>3</w:t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51" w:rsidRDefault="004D2651" w:rsidP="004D2651">
      <w:r>
        <w:separator/>
      </w:r>
    </w:p>
  </w:footnote>
  <w:footnote w:type="continuationSeparator" w:id="0">
    <w:p w:rsidR="004D2651" w:rsidRDefault="004D2651" w:rsidP="004D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51" w:rsidRDefault="003509E2">
    <w:pPr>
      <w:pStyle w:val="a6"/>
      <w:jc w:val="left"/>
    </w:pPr>
    <w:r>
      <w:rPr>
        <w:noProof/>
      </w:rPr>
      <w:drawing>
        <wp:inline distT="0" distB="0" distL="0" distR="0">
          <wp:extent cx="2512060" cy="542925"/>
          <wp:effectExtent l="19050" t="0" r="1994" b="0"/>
          <wp:docPr id="2" name="图片 1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age0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06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8459EC"/>
    <w:rsid w:val="002D5FAA"/>
    <w:rsid w:val="003509E2"/>
    <w:rsid w:val="003F6AA2"/>
    <w:rsid w:val="004D2651"/>
    <w:rsid w:val="007E36F2"/>
    <w:rsid w:val="008459EC"/>
    <w:rsid w:val="00C40E2A"/>
    <w:rsid w:val="00C60A3F"/>
    <w:rsid w:val="00F42C2E"/>
    <w:rsid w:val="78F0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footnote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4D265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4D2651"/>
    <w:pPr>
      <w:shd w:val="clear" w:color="auto" w:fill="000080"/>
    </w:pPr>
  </w:style>
  <w:style w:type="paragraph" w:styleId="a4">
    <w:name w:val="Balloon Text"/>
    <w:basedOn w:val="a"/>
    <w:semiHidden/>
    <w:rsid w:val="004D2651"/>
    <w:rPr>
      <w:sz w:val="18"/>
      <w:szCs w:val="18"/>
    </w:rPr>
  </w:style>
  <w:style w:type="paragraph" w:styleId="a5">
    <w:name w:val="footer"/>
    <w:basedOn w:val="a"/>
    <w:link w:val="Char"/>
    <w:rsid w:val="004D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4D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1"/>
    <w:rsid w:val="004D2651"/>
    <w:pPr>
      <w:snapToGrid w:val="0"/>
      <w:jc w:val="left"/>
    </w:pPr>
    <w:rPr>
      <w:rFonts w:ascii="Times New Roman" w:hAnsi="Times New Roman"/>
      <w:sz w:val="18"/>
      <w:szCs w:val="20"/>
    </w:rPr>
  </w:style>
  <w:style w:type="table" w:styleId="a8">
    <w:name w:val="Table Grid"/>
    <w:basedOn w:val="a1"/>
    <w:qFormat/>
    <w:rsid w:val="004D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rsid w:val="004D2651"/>
    <w:rPr>
      <w:vertAlign w:val="superscript"/>
    </w:rPr>
  </w:style>
  <w:style w:type="character" w:customStyle="1" w:styleId="2Char">
    <w:name w:val="标题 2 Char"/>
    <w:link w:val="2"/>
    <w:rsid w:val="004D2651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5"/>
    <w:rsid w:val="004D2651"/>
    <w:rPr>
      <w:kern w:val="2"/>
      <w:sz w:val="18"/>
      <w:szCs w:val="18"/>
    </w:rPr>
  </w:style>
  <w:style w:type="character" w:customStyle="1" w:styleId="Char0">
    <w:name w:val="页眉 Char"/>
    <w:link w:val="a6"/>
    <w:rsid w:val="004D2651"/>
    <w:rPr>
      <w:kern w:val="2"/>
      <w:sz w:val="18"/>
      <w:szCs w:val="18"/>
    </w:rPr>
  </w:style>
  <w:style w:type="character" w:customStyle="1" w:styleId="Char1">
    <w:name w:val="脚注文本 Char"/>
    <w:link w:val="a7"/>
    <w:rsid w:val="004D2651"/>
    <w:rPr>
      <w:rFonts w:ascii="Times New Roman" w:hAnsi="Times New Roman"/>
      <w:kern w:val="2"/>
      <w:sz w:val="18"/>
    </w:rPr>
  </w:style>
  <w:style w:type="paragraph" w:customStyle="1" w:styleId="Char2">
    <w:name w:val="Char"/>
    <w:basedOn w:val="a"/>
    <w:rsid w:val="004D2651"/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4D26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82292-2E1B-4C8D-8A25-53B29720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4</DocSecurity>
  <Lines>14</Lines>
  <Paragraphs>4</Paragraphs>
  <ScaleCrop>false</ScaleCrop>
  <Company>CNSTOCK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2021-10-13T04:44:00Z</cp:lastPrinted>
  <dcterms:created xsi:type="dcterms:W3CDTF">2021-10-13T16:06:00Z</dcterms:created>
  <dcterms:modified xsi:type="dcterms:W3CDTF">2021-10-13T16:06:00Z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14A114F50F715E67AC59666178451193</vt:lpwstr>
  </property>
</Properties>
</file>