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3D" w:rsidRPr="009C1B3D" w:rsidRDefault="00386F3D" w:rsidP="008F0D51">
      <w:pPr>
        <w:spacing w:line="360" w:lineRule="auto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b/>
          <w:sz w:val="24"/>
          <w:szCs w:val="24"/>
        </w:rPr>
        <w:t>诺德基金管理有限公司</w:t>
      </w:r>
    </w:p>
    <w:p w:rsidR="006512B5" w:rsidRPr="009C1B3D" w:rsidRDefault="00386F3D" w:rsidP="008F0D51">
      <w:pPr>
        <w:spacing w:line="360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b/>
          <w:sz w:val="24"/>
          <w:szCs w:val="24"/>
        </w:rPr>
        <w:t>关于旗下部分基金参加</w:t>
      </w:r>
      <w:r w:rsidR="00FD6FC3">
        <w:rPr>
          <w:rFonts w:asciiTheme="minorEastAsia" w:eastAsiaTheme="minorEastAsia" w:hAnsiTheme="minorEastAsia" w:hint="eastAsia"/>
          <w:b/>
          <w:sz w:val="24"/>
          <w:szCs w:val="24"/>
        </w:rPr>
        <w:t>海银基金销售有限公司</w:t>
      </w:r>
      <w:r w:rsidRPr="009C1B3D">
        <w:rPr>
          <w:rFonts w:asciiTheme="minorEastAsia" w:eastAsiaTheme="minorEastAsia" w:hAnsiTheme="minorEastAsia" w:hint="eastAsia"/>
          <w:b/>
          <w:sz w:val="24"/>
          <w:szCs w:val="24"/>
        </w:rPr>
        <w:t>申购（含定期定额投资）业务费率优惠活动的公告</w:t>
      </w:r>
    </w:p>
    <w:p w:rsidR="009C1B3D" w:rsidRPr="009C1B3D" w:rsidRDefault="009C1B3D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552C76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sz w:val="24"/>
          <w:szCs w:val="24"/>
        </w:rPr>
        <w:t>为了答谢广大投资人对诺德基金管理有限公司（以下简称“本公司”）的支持和厚爱，经与</w:t>
      </w:r>
      <w:r w:rsidR="00FD6FC3">
        <w:rPr>
          <w:rFonts w:asciiTheme="minorEastAsia" w:eastAsiaTheme="minorEastAsia" w:hAnsiTheme="minorEastAsia" w:hint="eastAsia"/>
          <w:sz w:val="24"/>
          <w:szCs w:val="24"/>
        </w:rPr>
        <w:t>海银基金销售有限公司</w:t>
      </w:r>
      <w:r w:rsidR="00287E1A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（以下简称“</w:t>
      </w:r>
      <w:r w:rsidR="00FD6FC3">
        <w:rPr>
          <w:rFonts w:asciiTheme="minorEastAsia" w:eastAsiaTheme="minorEastAsia" w:hAnsiTheme="minorEastAsia"/>
          <w:sz w:val="24"/>
          <w:szCs w:val="24"/>
        </w:rPr>
        <w:t>海银基金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”）协商一致，本公司决定旗下部分基金参加</w:t>
      </w:r>
      <w:r w:rsidR="00FD6FC3">
        <w:rPr>
          <w:rFonts w:asciiTheme="minorEastAsia" w:eastAsiaTheme="minorEastAsia" w:hAnsiTheme="minorEastAsia" w:hint="eastAsia"/>
          <w:sz w:val="24"/>
          <w:szCs w:val="24"/>
        </w:rPr>
        <w:t>海银基金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申购</w:t>
      </w:r>
      <w:r w:rsidR="00847022" w:rsidRPr="009C1B3D">
        <w:rPr>
          <w:rFonts w:asciiTheme="minorEastAsia" w:eastAsiaTheme="minorEastAsia" w:hAnsiTheme="minorEastAsia" w:hint="eastAsia"/>
          <w:sz w:val="24"/>
          <w:szCs w:val="24"/>
        </w:rPr>
        <w:t>（含定期定额投资）</w:t>
      </w:r>
      <w:r w:rsidR="006E0E34" w:rsidRPr="009C1B3D">
        <w:rPr>
          <w:rFonts w:asciiTheme="minorEastAsia" w:eastAsiaTheme="minorEastAsia" w:hAnsiTheme="minorEastAsia" w:hint="eastAsia"/>
          <w:sz w:val="24"/>
          <w:szCs w:val="24"/>
        </w:rPr>
        <w:t>业务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费率优惠活动。</w:t>
      </w:r>
    </w:p>
    <w:p w:rsidR="006512B5" w:rsidRPr="009C1B3D" w:rsidRDefault="00E004D4" w:rsidP="00B10489">
      <w:pPr>
        <w:spacing w:beforeLines="50" w:line="360" w:lineRule="auto"/>
        <w:outlineLvl w:val="0"/>
        <w:rPr>
          <w:rFonts w:asciiTheme="minorEastAsia" w:eastAsiaTheme="minorEastAsia" w:hAnsiTheme="minorEastAsia"/>
          <w:b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b/>
          <w:sz w:val="24"/>
          <w:szCs w:val="24"/>
        </w:rPr>
        <w:t>一、</w:t>
      </w:r>
      <w:r w:rsidRPr="009C1B3D"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  <w:r w:rsidRPr="009C1B3D">
        <w:rPr>
          <w:rFonts w:asciiTheme="minorEastAsia" w:eastAsiaTheme="minorEastAsia" w:hAnsiTheme="minorEastAsia" w:hint="eastAsia"/>
          <w:b/>
          <w:sz w:val="24"/>
          <w:szCs w:val="24"/>
        </w:rPr>
        <w:t>适用基金范围</w:t>
      </w:r>
    </w:p>
    <w:tbl>
      <w:tblPr>
        <w:tblStyle w:val="aa"/>
        <w:tblW w:w="0" w:type="auto"/>
        <w:tblLayout w:type="fixed"/>
        <w:tblLook w:val="0000"/>
      </w:tblPr>
      <w:tblGrid>
        <w:gridCol w:w="704"/>
        <w:gridCol w:w="1276"/>
        <w:gridCol w:w="6316"/>
      </w:tblGrid>
      <w:tr w:rsidR="006512B5" w:rsidRPr="00FD0E59" w:rsidTr="00A72055">
        <w:trPr>
          <w:trHeight w:val="397"/>
        </w:trPr>
        <w:tc>
          <w:tcPr>
            <w:tcW w:w="704" w:type="dxa"/>
            <w:vAlign w:val="center"/>
          </w:tcPr>
          <w:p w:rsidR="006512B5" w:rsidRPr="00FD0E59" w:rsidRDefault="00E004D4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0E59">
              <w:rPr>
                <w:rFonts w:asciiTheme="minorEastAsia" w:eastAsiaTheme="minorEastAsia" w:hAnsiTheme="minorEastAsia" w:hint="eastAsia"/>
                <w:sz w:val="24"/>
                <w:szCs w:val="24"/>
              </w:rPr>
              <w:t>编号</w:t>
            </w:r>
          </w:p>
        </w:tc>
        <w:tc>
          <w:tcPr>
            <w:tcW w:w="1276" w:type="dxa"/>
            <w:vAlign w:val="center"/>
          </w:tcPr>
          <w:p w:rsidR="006512B5" w:rsidRPr="00FD0E59" w:rsidRDefault="00E004D4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0E59">
              <w:rPr>
                <w:rFonts w:asciiTheme="minorEastAsia" w:eastAsiaTheme="minorEastAsia" w:hAnsiTheme="minorEastAsia" w:hint="eastAsia"/>
                <w:sz w:val="24"/>
                <w:szCs w:val="24"/>
              </w:rPr>
              <w:t>基金代码</w:t>
            </w:r>
          </w:p>
        </w:tc>
        <w:tc>
          <w:tcPr>
            <w:tcW w:w="6316" w:type="dxa"/>
            <w:vAlign w:val="center"/>
          </w:tcPr>
          <w:p w:rsidR="006512B5" w:rsidRPr="00FD0E59" w:rsidRDefault="00E004D4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0E59">
              <w:rPr>
                <w:rFonts w:asciiTheme="minorEastAsia" w:eastAsiaTheme="minorEastAsia" w:hAnsiTheme="minorEastAsia" w:hint="eastAsia"/>
                <w:sz w:val="24"/>
                <w:szCs w:val="24"/>
              </w:rPr>
              <w:t>基金名称</w:t>
            </w:r>
          </w:p>
        </w:tc>
      </w:tr>
      <w:tr w:rsidR="00DE2672" w:rsidRPr="004E71E1" w:rsidTr="00A72055">
        <w:trPr>
          <w:trHeight w:val="397"/>
        </w:trPr>
        <w:tc>
          <w:tcPr>
            <w:tcW w:w="704" w:type="dxa"/>
            <w:vAlign w:val="center"/>
          </w:tcPr>
          <w:p w:rsidR="00DE2672" w:rsidRPr="00A1487E" w:rsidRDefault="00FD6FC3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487E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E2672" w:rsidRPr="00A1487E" w:rsidRDefault="00A87533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487E">
              <w:rPr>
                <w:rFonts w:asciiTheme="minorEastAsia" w:eastAsiaTheme="minorEastAsia" w:hAnsiTheme="minorEastAsia"/>
                <w:sz w:val="24"/>
                <w:szCs w:val="24"/>
              </w:rPr>
              <w:t>570001</w:t>
            </w:r>
          </w:p>
        </w:tc>
        <w:tc>
          <w:tcPr>
            <w:tcW w:w="6316" w:type="dxa"/>
            <w:vAlign w:val="center"/>
          </w:tcPr>
          <w:p w:rsidR="00DE2672" w:rsidRPr="00A1487E" w:rsidRDefault="00DE2672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487E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诺德价值</w:t>
            </w:r>
            <w:r w:rsidR="002B1E9A" w:rsidRPr="00A1487E">
              <w:rPr>
                <w:rFonts w:asciiTheme="minorEastAsia" w:eastAsiaTheme="minorEastAsia" w:hAnsiTheme="minorEastAsia" w:hint="eastAsia"/>
                <w:sz w:val="24"/>
                <w:szCs w:val="24"/>
              </w:rPr>
              <w:t>优势混合型证券投资基金</w:t>
            </w:r>
          </w:p>
        </w:tc>
      </w:tr>
      <w:tr w:rsidR="0075241C" w:rsidRPr="004E71E1" w:rsidTr="00A72055">
        <w:trPr>
          <w:trHeight w:val="397"/>
        </w:trPr>
        <w:tc>
          <w:tcPr>
            <w:tcW w:w="704" w:type="dxa"/>
            <w:vAlign w:val="center"/>
          </w:tcPr>
          <w:p w:rsidR="0075241C" w:rsidRPr="00A1487E" w:rsidRDefault="00FD6FC3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487E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5241C" w:rsidRPr="00A1487E" w:rsidRDefault="0075241C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487E">
              <w:rPr>
                <w:rFonts w:asciiTheme="minorEastAsia" w:eastAsiaTheme="minorEastAsia" w:hAnsiTheme="minorEastAsia"/>
                <w:sz w:val="24"/>
                <w:szCs w:val="24"/>
              </w:rPr>
              <w:t>571002</w:t>
            </w:r>
          </w:p>
        </w:tc>
        <w:tc>
          <w:tcPr>
            <w:tcW w:w="6316" w:type="dxa"/>
            <w:vAlign w:val="center"/>
          </w:tcPr>
          <w:p w:rsidR="0075241C" w:rsidRPr="00A1487E" w:rsidRDefault="0075241C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487E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诺德主题灵活配置混合型证券投资基金</w:t>
            </w:r>
          </w:p>
        </w:tc>
      </w:tr>
      <w:tr w:rsidR="0075241C" w:rsidRPr="004E71E1" w:rsidTr="00A72055">
        <w:trPr>
          <w:trHeight w:val="397"/>
        </w:trPr>
        <w:tc>
          <w:tcPr>
            <w:tcW w:w="704" w:type="dxa"/>
            <w:vAlign w:val="center"/>
          </w:tcPr>
          <w:p w:rsidR="0075241C" w:rsidRPr="00A1487E" w:rsidRDefault="00FD6FC3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487E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75241C" w:rsidRPr="00A1487E" w:rsidRDefault="0075241C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487E">
              <w:rPr>
                <w:rFonts w:asciiTheme="minorEastAsia" w:eastAsiaTheme="minorEastAsia" w:hAnsiTheme="minorEastAsia"/>
                <w:sz w:val="24"/>
                <w:szCs w:val="24"/>
              </w:rPr>
              <w:t>573003</w:t>
            </w:r>
          </w:p>
        </w:tc>
        <w:tc>
          <w:tcPr>
            <w:tcW w:w="6316" w:type="dxa"/>
            <w:vAlign w:val="center"/>
          </w:tcPr>
          <w:p w:rsidR="0075241C" w:rsidRPr="00A1487E" w:rsidRDefault="0075241C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487E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诺德增强收益债券型证券投资基金</w:t>
            </w:r>
          </w:p>
        </w:tc>
      </w:tr>
      <w:tr w:rsidR="00847022" w:rsidRPr="004E71E1" w:rsidTr="00A72055">
        <w:trPr>
          <w:trHeight w:val="397"/>
        </w:trPr>
        <w:tc>
          <w:tcPr>
            <w:tcW w:w="704" w:type="dxa"/>
            <w:vAlign w:val="center"/>
          </w:tcPr>
          <w:p w:rsidR="00847022" w:rsidRPr="00A1487E" w:rsidRDefault="00FD6FC3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487E"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847022" w:rsidRPr="00A1487E" w:rsidRDefault="00847022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487E">
              <w:rPr>
                <w:rFonts w:asciiTheme="minorEastAsia" w:eastAsiaTheme="minorEastAsia" w:hAnsiTheme="minorEastAsia"/>
                <w:sz w:val="24"/>
                <w:szCs w:val="24"/>
              </w:rPr>
              <w:t>570005</w:t>
            </w:r>
          </w:p>
        </w:tc>
        <w:tc>
          <w:tcPr>
            <w:tcW w:w="6316" w:type="dxa"/>
            <w:vAlign w:val="center"/>
          </w:tcPr>
          <w:p w:rsidR="00847022" w:rsidRPr="00A1487E" w:rsidRDefault="00847022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487E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诺德成长优势混合型证券投资基金</w:t>
            </w:r>
          </w:p>
        </w:tc>
      </w:tr>
      <w:tr w:rsidR="0075241C" w:rsidRPr="004E71E1" w:rsidTr="00A72055">
        <w:trPr>
          <w:trHeight w:val="397"/>
        </w:trPr>
        <w:tc>
          <w:tcPr>
            <w:tcW w:w="704" w:type="dxa"/>
            <w:vAlign w:val="center"/>
          </w:tcPr>
          <w:p w:rsidR="0075241C" w:rsidRPr="00A1487E" w:rsidRDefault="00FD6FC3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487E"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75241C" w:rsidRPr="00A1487E" w:rsidRDefault="0075241C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487E">
              <w:rPr>
                <w:rFonts w:asciiTheme="minorEastAsia" w:eastAsiaTheme="minorEastAsia" w:hAnsiTheme="minorEastAsia"/>
                <w:sz w:val="24"/>
                <w:szCs w:val="24"/>
              </w:rPr>
              <w:t>570006</w:t>
            </w:r>
          </w:p>
        </w:tc>
        <w:tc>
          <w:tcPr>
            <w:tcW w:w="6316" w:type="dxa"/>
            <w:vAlign w:val="center"/>
          </w:tcPr>
          <w:p w:rsidR="0075241C" w:rsidRPr="00A1487E" w:rsidRDefault="0075241C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487E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诺德中小盘混合型证券投资基金</w:t>
            </w:r>
          </w:p>
        </w:tc>
      </w:tr>
      <w:tr w:rsidR="0075241C" w:rsidRPr="004E71E1" w:rsidTr="00A72055">
        <w:trPr>
          <w:trHeight w:val="397"/>
        </w:trPr>
        <w:tc>
          <w:tcPr>
            <w:tcW w:w="704" w:type="dxa"/>
            <w:vAlign w:val="center"/>
          </w:tcPr>
          <w:p w:rsidR="0075241C" w:rsidRPr="00A1487E" w:rsidRDefault="00FD6FC3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487E">
              <w:rPr>
                <w:rFonts w:asciiTheme="minorEastAsia" w:eastAsia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75241C" w:rsidRPr="00A1487E" w:rsidRDefault="0075241C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487E">
              <w:rPr>
                <w:rFonts w:asciiTheme="minorEastAsia" w:eastAsiaTheme="minorEastAsia" w:hAnsiTheme="minorEastAsia"/>
                <w:sz w:val="24"/>
                <w:szCs w:val="24"/>
              </w:rPr>
              <w:t>570007</w:t>
            </w:r>
          </w:p>
        </w:tc>
        <w:tc>
          <w:tcPr>
            <w:tcW w:w="6316" w:type="dxa"/>
            <w:vAlign w:val="center"/>
          </w:tcPr>
          <w:p w:rsidR="0075241C" w:rsidRPr="00A1487E" w:rsidRDefault="0075241C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487E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诺德优选</w:t>
            </w:r>
            <w:r w:rsidRPr="00A1487E">
              <w:rPr>
                <w:rFonts w:asciiTheme="minorEastAsia" w:eastAsiaTheme="minorEastAsia" w:hAnsiTheme="minorEastAsia"/>
                <w:sz w:val="24"/>
                <w:szCs w:val="24"/>
              </w:rPr>
              <w:t>30混合型证券投资基金</w:t>
            </w:r>
          </w:p>
        </w:tc>
      </w:tr>
      <w:tr w:rsidR="0075241C" w:rsidRPr="004E71E1" w:rsidTr="00A72055">
        <w:trPr>
          <w:trHeight w:val="397"/>
        </w:trPr>
        <w:tc>
          <w:tcPr>
            <w:tcW w:w="704" w:type="dxa"/>
            <w:vAlign w:val="center"/>
          </w:tcPr>
          <w:p w:rsidR="0075241C" w:rsidRPr="00A1487E" w:rsidRDefault="00FD6FC3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487E">
              <w:rPr>
                <w:rFonts w:asciiTheme="minorEastAsia" w:eastAsia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75241C" w:rsidRPr="00A1487E" w:rsidRDefault="0075241C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487E">
              <w:rPr>
                <w:rFonts w:asciiTheme="minorEastAsia" w:eastAsiaTheme="minorEastAsia" w:hAnsiTheme="minorEastAsia"/>
                <w:sz w:val="24"/>
                <w:szCs w:val="24"/>
              </w:rPr>
              <w:t>570008</w:t>
            </w:r>
          </w:p>
        </w:tc>
        <w:tc>
          <w:tcPr>
            <w:tcW w:w="6316" w:type="dxa"/>
            <w:vAlign w:val="center"/>
          </w:tcPr>
          <w:p w:rsidR="0075241C" w:rsidRPr="00A1487E" w:rsidRDefault="0075241C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487E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诺德周期策略混合型证券投资基金</w:t>
            </w:r>
          </w:p>
        </w:tc>
      </w:tr>
      <w:tr w:rsidR="00E97B67" w:rsidRPr="004E71E1" w:rsidTr="00A72055">
        <w:trPr>
          <w:trHeight w:val="397"/>
        </w:trPr>
        <w:tc>
          <w:tcPr>
            <w:tcW w:w="704" w:type="dxa"/>
            <w:vAlign w:val="center"/>
          </w:tcPr>
          <w:p w:rsidR="00E97B67" w:rsidRPr="00A1487E" w:rsidRDefault="00FD6FC3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487E">
              <w:rPr>
                <w:rFonts w:asciiTheme="minorEastAsia" w:eastAsia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E97B67" w:rsidRPr="00A1487E" w:rsidRDefault="00E97B67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487E">
              <w:rPr>
                <w:rFonts w:asciiTheme="minorEastAsia" w:eastAsiaTheme="minorEastAsia" w:hAnsiTheme="minorEastAsia"/>
                <w:sz w:val="24"/>
                <w:szCs w:val="24"/>
              </w:rPr>
              <w:t>003561</w:t>
            </w:r>
          </w:p>
        </w:tc>
        <w:tc>
          <w:tcPr>
            <w:tcW w:w="6316" w:type="dxa"/>
            <w:vAlign w:val="center"/>
          </w:tcPr>
          <w:p w:rsidR="00E97B67" w:rsidRPr="00A1487E" w:rsidRDefault="00E97B67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487E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诺德成长精选灵活配置混合型证券投资基金</w:t>
            </w:r>
            <w:r w:rsidRPr="00A1487E">
              <w:rPr>
                <w:rFonts w:asciiTheme="minorEastAsia" w:eastAsiaTheme="minorEastAsia" w:hAnsiTheme="minorEastAsia"/>
                <w:sz w:val="24"/>
                <w:szCs w:val="24"/>
              </w:rPr>
              <w:t>A类基金份额</w:t>
            </w:r>
          </w:p>
        </w:tc>
      </w:tr>
      <w:tr w:rsidR="00DC6A6E" w:rsidRPr="004E71E1" w:rsidTr="00A72055">
        <w:trPr>
          <w:trHeight w:val="397"/>
        </w:trPr>
        <w:tc>
          <w:tcPr>
            <w:tcW w:w="704" w:type="dxa"/>
            <w:vAlign w:val="center"/>
          </w:tcPr>
          <w:p w:rsidR="00DC6A6E" w:rsidRPr="00A1487E" w:rsidRDefault="00FD6FC3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487E"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C6A6E" w:rsidRPr="00A1487E" w:rsidRDefault="004E71E1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487E">
              <w:rPr>
                <w:rFonts w:asciiTheme="minorEastAsia" w:eastAsiaTheme="minorEastAsia" w:hAnsiTheme="minorEastAsia"/>
                <w:sz w:val="24"/>
                <w:szCs w:val="24"/>
              </w:rPr>
              <w:t>005293</w:t>
            </w:r>
          </w:p>
        </w:tc>
        <w:tc>
          <w:tcPr>
            <w:tcW w:w="6316" w:type="dxa"/>
            <w:vAlign w:val="center"/>
          </w:tcPr>
          <w:p w:rsidR="00DC6A6E" w:rsidRPr="00A1487E" w:rsidRDefault="00DC6A6E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487E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诺德新旺</w:t>
            </w:r>
            <w:r w:rsidR="004E71E1" w:rsidRPr="00A1487E">
              <w:rPr>
                <w:rFonts w:asciiTheme="minorEastAsia" w:eastAsiaTheme="minorEastAsia" w:hAnsiTheme="minorEastAsia" w:hint="eastAsia"/>
                <w:sz w:val="24"/>
                <w:szCs w:val="24"/>
              </w:rPr>
              <w:t>灵活配置混合型证券投资基金</w:t>
            </w:r>
          </w:p>
        </w:tc>
      </w:tr>
      <w:tr w:rsidR="004A691E" w:rsidRPr="004E71E1" w:rsidTr="00A72055">
        <w:trPr>
          <w:trHeight w:val="397"/>
        </w:trPr>
        <w:tc>
          <w:tcPr>
            <w:tcW w:w="704" w:type="dxa"/>
            <w:vAlign w:val="center"/>
          </w:tcPr>
          <w:p w:rsidR="004A691E" w:rsidRPr="00A1487E" w:rsidRDefault="00FD6FC3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487E">
              <w:rPr>
                <w:rFonts w:asciiTheme="minorEastAsia" w:eastAsiaTheme="minorEastAsia" w:hAnsiTheme="minorEastAsia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4A691E" w:rsidRPr="00A1487E" w:rsidRDefault="004E71E1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487E">
              <w:rPr>
                <w:rFonts w:asciiTheme="minorEastAsia" w:eastAsiaTheme="minorEastAsia" w:hAnsiTheme="minorEastAsia"/>
                <w:sz w:val="24"/>
                <w:szCs w:val="24"/>
              </w:rPr>
              <w:t>004987</w:t>
            </w:r>
          </w:p>
        </w:tc>
        <w:tc>
          <w:tcPr>
            <w:tcW w:w="6316" w:type="dxa"/>
            <w:vAlign w:val="center"/>
          </w:tcPr>
          <w:p w:rsidR="004A691E" w:rsidRPr="00A1487E" w:rsidRDefault="004A691E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487E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诺德新享</w:t>
            </w:r>
            <w:r w:rsidR="004E71E1" w:rsidRPr="00A1487E">
              <w:rPr>
                <w:rFonts w:asciiTheme="minorEastAsia" w:eastAsiaTheme="minorEastAsia" w:hAnsiTheme="minorEastAsia" w:hint="eastAsia"/>
                <w:sz w:val="24"/>
                <w:szCs w:val="24"/>
              </w:rPr>
              <w:t>灵活配置混合型证券投资基金</w:t>
            </w:r>
          </w:p>
        </w:tc>
      </w:tr>
      <w:tr w:rsidR="00287E1A" w:rsidRPr="004E71E1" w:rsidTr="00A72055">
        <w:trPr>
          <w:trHeight w:val="397"/>
        </w:trPr>
        <w:tc>
          <w:tcPr>
            <w:tcW w:w="704" w:type="dxa"/>
            <w:vAlign w:val="center"/>
          </w:tcPr>
          <w:p w:rsidR="00287E1A" w:rsidRPr="00A1487E" w:rsidRDefault="00FD6FC3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487E"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287E1A" w:rsidRPr="00A1487E" w:rsidRDefault="00287E1A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487E">
              <w:rPr>
                <w:rFonts w:asciiTheme="minorEastAsia" w:eastAsiaTheme="minorEastAsia" w:hAnsiTheme="minorEastAsia"/>
                <w:sz w:val="24"/>
                <w:szCs w:val="24"/>
              </w:rPr>
              <w:t>005674</w:t>
            </w:r>
          </w:p>
        </w:tc>
        <w:tc>
          <w:tcPr>
            <w:tcW w:w="6316" w:type="dxa"/>
            <w:vAlign w:val="center"/>
          </w:tcPr>
          <w:p w:rsidR="00287E1A" w:rsidRPr="00A1487E" w:rsidRDefault="00287E1A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487E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诺德消费升级灵活配置混合型证券投资基金</w:t>
            </w:r>
          </w:p>
        </w:tc>
      </w:tr>
      <w:tr w:rsidR="00E97B67" w:rsidRPr="004E71E1" w:rsidTr="00A72055">
        <w:trPr>
          <w:trHeight w:val="397"/>
        </w:trPr>
        <w:tc>
          <w:tcPr>
            <w:tcW w:w="704" w:type="dxa"/>
            <w:vAlign w:val="center"/>
          </w:tcPr>
          <w:p w:rsidR="00E97B67" w:rsidRPr="00A1487E" w:rsidRDefault="00FD6FC3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487E"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E97B67" w:rsidRPr="00A1487E" w:rsidRDefault="00E97B67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487E">
              <w:rPr>
                <w:rFonts w:asciiTheme="minorEastAsia" w:eastAsiaTheme="minorEastAsia" w:hAnsiTheme="minorEastAsia"/>
                <w:sz w:val="24"/>
                <w:szCs w:val="24"/>
              </w:rPr>
              <w:t>006267</w:t>
            </w:r>
          </w:p>
        </w:tc>
        <w:tc>
          <w:tcPr>
            <w:tcW w:w="6316" w:type="dxa"/>
            <w:vAlign w:val="center"/>
          </w:tcPr>
          <w:p w:rsidR="00E97B67" w:rsidRPr="00A1487E" w:rsidRDefault="00E97B67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487E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诺德量化核心灵活配置混合型证券投资基金</w:t>
            </w:r>
            <w:r w:rsidRPr="00A1487E">
              <w:rPr>
                <w:rFonts w:asciiTheme="minorEastAsia" w:eastAsiaTheme="minorEastAsia" w:hAnsiTheme="minorEastAsia"/>
                <w:sz w:val="24"/>
                <w:szCs w:val="24"/>
              </w:rPr>
              <w:t>A类基金份额</w:t>
            </w:r>
          </w:p>
        </w:tc>
      </w:tr>
      <w:tr w:rsidR="00E97B67" w:rsidRPr="004E71E1" w:rsidTr="00A72055">
        <w:trPr>
          <w:trHeight w:val="397"/>
        </w:trPr>
        <w:tc>
          <w:tcPr>
            <w:tcW w:w="704" w:type="dxa"/>
            <w:vAlign w:val="center"/>
          </w:tcPr>
          <w:p w:rsidR="00E97B67" w:rsidRPr="00A1487E" w:rsidRDefault="00FD6FC3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487E">
              <w:rPr>
                <w:rFonts w:asciiTheme="minorEastAsia" w:eastAsiaTheme="minorEastAsia" w:hAnsiTheme="minorEastAsia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E97B67" w:rsidRPr="00A1487E" w:rsidRDefault="00E97B67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487E">
              <w:rPr>
                <w:rFonts w:asciiTheme="minorEastAsia" w:eastAsiaTheme="minorEastAsia" w:hAnsiTheme="minorEastAsia"/>
                <w:sz w:val="24"/>
                <w:szCs w:val="24"/>
              </w:rPr>
              <w:t>008079</w:t>
            </w:r>
          </w:p>
        </w:tc>
        <w:tc>
          <w:tcPr>
            <w:tcW w:w="6316" w:type="dxa"/>
            <w:vAlign w:val="center"/>
          </w:tcPr>
          <w:p w:rsidR="00E97B67" w:rsidRPr="00A1487E" w:rsidRDefault="00E97B67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487E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诺德大类精选配置三个月定期开放混合型基金中基金（</w:t>
            </w:r>
            <w:r w:rsidRPr="00A1487E">
              <w:rPr>
                <w:rFonts w:asciiTheme="minorEastAsia" w:eastAsiaTheme="minorEastAsia" w:hAnsiTheme="minorEastAsia"/>
                <w:sz w:val="24"/>
                <w:szCs w:val="24"/>
              </w:rPr>
              <w:t>FOF）</w:t>
            </w:r>
          </w:p>
        </w:tc>
      </w:tr>
      <w:tr w:rsidR="00287E1A" w:rsidRPr="004E71E1" w:rsidTr="00A72055">
        <w:trPr>
          <w:trHeight w:val="397"/>
        </w:trPr>
        <w:tc>
          <w:tcPr>
            <w:tcW w:w="704" w:type="dxa"/>
            <w:vAlign w:val="center"/>
          </w:tcPr>
          <w:p w:rsidR="00287E1A" w:rsidRPr="00A1487E" w:rsidRDefault="00FD6FC3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487E">
              <w:rPr>
                <w:rFonts w:asciiTheme="minorEastAsia" w:eastAsiaTheme="minorEastAsia" w:hAnsiTheme="minorEastAsia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287E1A" w:rsidRPr="00A1487E" w:rsidRDefault="002701D0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487E">
              <w:rPr>
                <w:rFonts w:asciiTheme="minorEastAsia" w:eastAsiaTheme="minorEastAsia" w:hAnsiTheme="minorEastAsia"/>
                <w:sz w:val="24"/>
                <w:szCs w:val="24"/>
              </w:rPr>
              <w:t>011078</w:t>
            </w:r>
          </w:p>
        </w:tc>
        <w:tc>
          <w:tcPr>
            <w:tcW w:w="6316" w:type="dxa"/>
            <w:vAlign w:val="center"/>
          </w:tcPr>
          <w:p w:rsidR="00287E1A" w:rsidRPr="00A1487E" w:rsidRDefault="00287E1A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487E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诺德品质消费</w:t>
            </w:r>
            <w:r w:rsidR="002701D0" w:rsidRPr="00A1487E">
              <w:rPr>
                <w:rFonts w:asciiTheme="minorEastAsia" w:eastAsiaTheme="minorEastAsia" w:hAnsiTheme="minorEastAsia"/>
                <w:sz w:val="24"/>
                <w:szCs w:val="24"/>
              </w:rPr>
              <w:t>6个月持有期混合型证券投资基金</w:t>
            </w:r>
          </w:p>
        </w:tc>
      </w:tr>
      <w:tr w:rsidR="00FD6FC3" w:rsidRPr="004E71E1" w:rsidTr="00A72055">
        <w:trPr>
          <w:trHeight w:val="397"/>
        </w:trPr>
        <w:tc>
          <w:tcPr>
            <w:tcW w:w="704" w:type="dxa"/>
            <w:vAlign w:val="center"/>
          </w:tcPr>
          <w:p w:rsidR="00FD6FC3" w:rsidRPr="00A1487E" w:rsidRDefault="00FD6FC3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487E">
              <w:rPr>
                <w:rFonts w:asciiTheme="minorEastAsia" w:eastAsia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FD6FC3" w:rsidRPr="00A1487E" w:rsidRDefault="00FD6FC3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487E">
              <w:rPr>
                <w:rFonts w:asciiTheme="minorEastAsia" w:eastAsiaTheme="minorEastAsia" w:hAnsiTheme="minorEastAsia" w:hint="eastAsia"/>
                <w:sz w:val="24"/>
                <w:szCs w:val="24"/>
              </w:rPr>
              <w:t>010878</w:t>
            </w:r>
          </w:p>
        </w:tc>
        <w:tc>
          <w:tcPr>
            <w:tcW w:w="6316" w:type="dxa"/>
            <w:vAlign w:val="center"/>
          </w:tcPr>
          <w:p w:rsidR="00FD6FC3" w:rsidRPr="00A1487E" w:rsidRDefault="00FD6FC3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487E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诺德优势产业混合型证券投资基金</w:t>
            </w:r>
          </w:p>
        </w:tc>
      </w:tr>
      <w:tr w:rsidR="00287E1A" w:rsidRPr="00A1487E" w:rsidTr="00A72055">
        <w:trPr>
          <w:trHeight w:val="397"/>
        </w:trPr>
        <w:tc>
          <w:tcPr>
            <w:tcW w:w="704" w:type="dxa"/>
            <w:vAlign w:val="center"/>
          </w:tcPr>
          <w:p w:rsidR="00287E1A" w:rsidRPr="00A1487E" w:rsidRDefault="00FD6FC3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487E">
              <w:rPr>
                <w:rFonts w:asciiTheme="minorEastAsia" w:eastAsiaTheme="minorEastAsia" w:hAnsiTheme="minorEastAsia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287E1A" w:rsidRPr="00A1487E" w:rsidRDefault="002701D0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487E">
              <w:rPr>
                <w:rFonts w:asciiTheme="minorEastAsia" w:eastAsiaTheme="minorEastAsia" w:hAnsiTheme="minorEastAsia"/>
                <w:sz w:val="24"/>
                <w:szCs w:val="24"/>
              </w:rPr>
              <w:t>012036</w:t>
            </w:r>
          </w:p>
        </w:tc>
        <w:tc>
          <w:tcPr>
            <w:tcW w:w="6316" w:type="dxa"/>
            <w:vAlign w:val="center"/>
          </w:tcPr>
          <w:p w:rsidR="00287E1A" w:rsidRPr="00A1487E" w:rsidRDefault="00287E1A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487E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诺德兴远优选</w:t>
            </w:r>
            <w:r w:rsidR="002701D0" w:rsidRPr="00A1487E">
              <w:rPr>
                <w:rFonts w:asciiTheme="minorEastAsia" w:eastAsiaTheme="minorEastAsia" w:hAnsiTheme="minorEastAsia" w:hint="eastAsia"/>
                <w:sz w:val="24"/>
                <w:szCs w:val="24"/>
              </w:rPr>
              <w:t>一年持有期混合型证券投资基金</w:t>
            </w:r>
          </w:p>
        </w:tc>
      </w:tr>
      <w:tr w:rsidR="00287E1A" w:rsidRPr="00FD0E59" w:rsidTr="00A72055">
        <w:trPr>
          <w:trHeight w:val="397"/>
        </w:trPr>
        <w:tc>
          <w:tcPr>
            <w:tcW w:w="704" w:type="dxa"/>
            <w:vAlign w:val="center"/>
          </w:tcPr>
          <w:p w:rsidR="00287E1A" w:rsidRPr="00A1487E" w:rsidRDefault="00FD6FC3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487E">
              <w:rPr>
                <w:rFonts w:asciiTheme="minorEastAsia" w:eastAsiaTheme="minorEastAsia" w:hAnsiTheme="minorEastAsia"/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287E1A" w:rsidRPr="00A1487E" w:rsidRDefault="002701D0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487E">
              <w:rPr>
                <w:rFonts w:asciiTheme="minorEastAsia" w:eastAsiaTheme="minorEastAsia" w:hAnsiTheme="minorEastAsia"/>
                <w:sz w:val="24"/>
                <w:szCs w:val="24"/>
              </w:rPr>
              <w:t>012150</w:t>
            </w:r>
          </w:p>
        </w:tc>
        <w:tc>
          <w:tcPr>
            <w:tcW w:w="6316" w:type="dxa"/>
            <w:vAlign w:val="center"/>
          </w:tcPr>
          <w:p w:rsidR="00287E1A" w:rsidRPr="00A1487E" w:rsidRDefault="00287E1A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487E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诺德价值发现</w:t>
            </w:r>
            <w:r w:rsidR="002701D0" w:rsidRPr="00A1487E">
              <w:rPr>
                <w:rFonts w:asciiTheme="minorEastAsia" w:eastAsiaTheme="minorEastAsia" w:hAnsiTheme="minorEastAsia" w:hint="eastAsia"/>
                <w:sz w:val="24"/>
                <w:szCs w:val="24"/>
              </w:rPr>
              <w:t>一年持有期混合型证券投资基金</w:t>
            </w:r>
            <w:bookmarkStart w:id="0" w:name="_GoBack"/>
            <w:bookmarkEnd w:id="0"/>
          </w:p>
        </w:tc>
      </w:tr>
    </w:tbl>
    <w:p w:rsidR="006512B5" w:rsidRPr="009C1B3D" w:rsidRDefault="00E004D4" w:rsidP="00B10489">
      <w:pPr>
        <w:spacing w:beforeLines="50"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b/>
          <w:sz w:val="24"/>
          <w:szCs w:val="24"/>
        </w:rPr>
        <w:t>二、费率优惠活动内容</w:t>
      </w:r>
    </w:p>
    <w:p w:rsidR="00525B74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sz w:val="24"/>
          <w:szCs w:val="24"/>
        </w:rPr>
        <w:lastRenderedPageBreak/>
        <w:t>自</w:t>
      </w:r>
      <w:r w:rsidRPr="009C1B3D">
        <w:rPr>
          <w:rFonts w:asciiTheme="minorEastAsia" w:eastAsiaTheme="minorEastAsia" w:hAnsiTheme="minorEastAsia"/>
          <w:sz w:val="24"/>
          <w:szCs w:val="24"/>
        </w:rPr>
        <w:t>202</w:t>
      </w:r>
      <w:r w:rsidR="00DE2672">
        <w:rPr>
          <w:rFonts w:asciiTheme="minorEastAsia" w:eastAsiaTheme="minorEastAsia" w:hAnsiTheme="minorEastAsia"/>
          <w:sz w:val="24"/>
          <w:szCs w:val="24"/>
        </w:rPr>
        <w:t>1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FD6FC3">
        <w:rPr>
          <w:rFonts w:asciiTheme="minorEastAsia" w:eastAsiaTheme="minorEastAsia" w:hAnsiTheme="minorEastAsia"/>
          <w:sz w:val="24"/>
          <w:szCs w:val="24"/>
        </w:rPr>
        <w:t>10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456A15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FD6FC3">
        <w:rPr>
          <w:rFonts w:asciiTheme="minorEastAsia" w:eastAsiaTheme="minorEastAsia" w:hAnsiTheme="minorEastAsia"/>
          <w:sz w:val="24"/>
          <w:szCs w:val="24"/>
        </w:rPr>
        <w:t>2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日起，投资者通过</w:t>
      </w:r>
      <w:r w:rsidR="00FD6FC3">
        <w:rPr>
          <w:rFonts w:asciiTheme="minorEastAsia" w:eastAsiaTheme="minorEastAsia" w:hAnsiTheme="minorEastAsia" w:hint="eastAsia"/>
          <w:sz w:val="24"/>
          <w:szCs w:val="24"/>
        </w:rPr>
        <w:t>海银基金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申购</w:t>
      </w:r>
      <w:r w:rsidR="00847022" w:rsidRPr="009C1B3D">
        <w:rPr>
          <w:rFonts w:asciiTheme="minorEastAsia" w:eastAsiaTheme="minorEastAsia" w:hAnsiTheme="minorEastAsia" w:hint="eastAsia"/>
          <w:sz w:val="24"/>
          <w:szCs w:val="24"/>
        </w:rPr>
        <w:t>（含定期定额投资）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上述基金的（限前端收费模式），申购费率享受</w:t>
      </w:r>
      <w:r w:rsidR="009D3215">
        <w:rPr>
          <w:rFonts w:asciiTheme="minorEastAsia" w:eastAsiaTheme="minorEastAsia" w:hAnsiTheme="minorEastAsia" w:hint="eastAsia"/>
          <w:sz w:val="24"/>
          <w:szCs w:val="24"/>
        </w:rPr>
        <w:t>1折起</w:t>
      </w:r>
      <w:r w:rsidRPr="009C1B3D">
        <w:rPr>
          <w:rFonts w:asciiTheme="minorEastAsia" w:eastAsiaTheme="minorEastAsia" w:hAnsiTheme="minorEastAsia"/>
          <w:sz w:val="24"/>
          <w:szCs w:val="24"/>
        </w:rPr>
        <w:t>的折扣幅度；原申购费率为固定费用的，则按原申购费率执行，不再享有费率折扣。</w:t>
      </w:r>
    </w:p>
    <w:p w:rsidR="00525B74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sz w:val="24"/>
          <w:szCs w:val="24"/>
        </w:rPr>
        <w:t>具体折扣费率及优惠活动</w:t>
      </w:r>
      <w:r w:rsidR="009673C9">
        <w:rPr>
          <w:rFonts w:asciiTheme="minorEastAsia" w:eastAsiaTheme="minorEastAsia" w:hAnsiTheme="minorEastAsia" w:hint="eastAsia"/>
          <w:sz w:val="24"/>
          <w:szCs w:val="24"/>
        </w:rPr>
        <w:t>详情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以</w:t>
      </w:r>
      <w:r w:rsidR="00FD6FC3">
        <w:rPr>
          <w:rFonts w:asciiTheme="minorEastAsia" w:eastAsiaTheme="minorEastAsia" w:hAnsiTheme="minorEastAsia" w:hint="eastAsia"/>
          <w:sz w:val="24"/>
          <w:szCs w:val="24"/>
        </w:rPr>
        <w:t>海银基金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公示为准。基金原费率请详见基金合同、招募说明书（更新）等法律文件，以及本公司发布的最新业务公告。</w:t>
      </w:r>
    </w:p>
    <w:p w:rsidR="006512B5" w:rsidRPr="009C1B3D" w:rsidRDefault="00525B74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sz w:val="24"/>
          <w:szCs w:val="24"/>
        </w:rPr>
        <w:t>费率优惠期限内，如本公司新增通过</w:t>
      </w:r>
      <w:r w:rsidR="00FD6FC3">
        <w:rPr>
          <w:rFonts w:asciiTheme="minorEastAsia" w:eastAsiaTheme="minorEastAsia" w:hAnsiTheme="minorEastAsia" w:hint="eastAsia"/>
          <w:sz w:val="24"/>
          <w:szCs w:val="24"/>
        </w:rPr>
        <w:t>海银基金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代销的基金产品，则自该基金产品开放申购当日起，将同时开通该基金上述优惠活动。</w:t>
      </w:r>
      <w:r w:rsidR="00E004D4" w:rsidRPr="009C1B3D">
        <w:rPr>
          <w:rFonts w:asciiTheme="minorEastAsia" w:eastAsiaTheme="minorEastAsia" w:hAnsiTheme="minorEastAsia" w:hint="eastAsia"/>
          <w:sz w:val="24"/>
          <w:szCs w:val="24"/>
        </w:rPr>
        <w:t>上述优惠活动如有调整，</w:t>
      </w:r>
      <w:r w:rsidR="00E004D4" w:rsidRPr="009C1B3D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敬请投资者留意</w:t>
      </w:r>
      <w:r w:rsidR="00FD6FC3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海银基金</w:t>
      </w:r>
      <w:r w:rsidR="00E004D4" w:rsidRPr="009C1B3D">
        <w:rPr>
          <w:rFonts w:asciiTheme="minorEastAsia" w:eastAsiaTheme="minorEastAsia" w:hAnsiTheme="minorEastAsia" w:hint="eastAsia"/>
          <w:sz w:val="24"/>
          <w:szCs w:val="24"/>
        </w:rPr>
        <w:t>相关</w:t>
      </w:r>
      <w:r w:rsidR="00E004D4" w:rsidRPr="009C1B3D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公告。</w:t>
      </w:r>
    </w:p>
    <w:p w:rsidR="006512B5" w:rsidRPr="009C1B3D" w:rsidRDefault="00E004D4" w:rsidP="00B10489">
      <w:pPr>
        <w:pStyle w:val="1"/>
        <w:spacing w:beforeLines="50" w:line="360" w:lineRule="auto"/>
        <w:ind w:firstLineChars="0" w:firstLine="0"/>
        <w:outlineLvl w:val="0"/>
        <w:rPr>
          <w:rFonts w:asciiTheme="minorEastAsia" w:eastAsiaTheme="minorEastAsia" w:hAnsiTheme="minorEastAsia"/>
          <w:b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b/>
          <w:sz w:val="24"/>
          <w:szCs w:val="24"/>
        </w:rPr>
        <w:t>三、重要提示</w:t>
      </w:r>
      <w:r w:rsidRPr="009C1B3D"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</w:p>
    <w:p w:rsidR="006512B5" w:rsidRPr="009C1B3D" w:rsidRDefault="00E004D4">
      <w:pPr>
        <w:pStyle w:val="1"/>
        <w:spacing w:line="360" w:lineRule="auto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/>
          <w:sz w:val="24"/>
          <w:szCs w:val="24"/>
        </w:rPr>
        <w:t>1、本次优惠活动的解释权归</w:t>
      </w:r>
      <w:r w:rsidR="00FD6FC3">
        <w:rPr>
          <w:rFonts w:asciiTheme="minorEastAsia" w:eastAsiaTheme="minorEastAsia" w:hAnsiTheme="minorEastAsia" w:hint="eastAsia"/>
          <w:sz w:val="24"/>
          <w:szCs w:val="24"/>
        </w:rPr>
        <w:t>海银基金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所有。优惠活动期间，业务办理的具体时间、流程以</w:t>
      </w:r>
      <w:r w:rsidR="00FD6FC3">
        <w:rPr>
          <w:rFonts w:asciiTheme="minorEastAsia" w:eastAsiaTheme="minorEastAsia" w:hAnsiTheme="minorEastAsia" w:hint="eastAsia"/>
          <w:sz w:val="24"/>
          <w:szCs w:val="24"/>
        </w:rPr>
        <w:t>海银基金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规定为准。</w:t>
      </w:r>
    </w:p>
    <w:p w:rsidR="006512B5" w:rsidRPr="009C1B3D" w:rsidRDefault="00E004D4">
      <w:pPr>
        <w:pStyle w:val="1"/>
        <w:spacing w:line="360" w:lineRule="auto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/>
          <w:sz w:val="24"/>
          <w:szCs w:val="24"/>
        </w:rPr>
        <w:t>2、</w:t>
      </w:r>
      <w:r w:rsidR="00FD6FC3">
        <w:rPr>
          <w:rFonts w:asciiTheme="minorEastAsia" w:eastAsiaTheme="minorEastAsia" w:hAnsiTheme="minorEastAsia" w:hint="eastAsia"/>
          <w:sz w:val="24"/>
          <w:szCs w:val="24"/>
        </w:rPr>
        <w:t>海银基金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基金费率优惠仅针对处于正常申购期的指定开放式基金（仅前端收费模式）申购手续费</w:t>
      </w:r>
      <w:r w:rsidR="006E0E34" w:rsidRPr="009C1B3D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不包括基金赎回、</w:t>
      </w:r>
      <w:r w:rsidR="000F5BD0" w:rsidRPr="009C1B3D">
        <w:rPr>
          <w:rFonts w:asciiTheme="minorEastAsia" w:eastAsiaTheme="minorEastAsia" w:hAnsiTheme="minorEastAsia" w:hint="eastAsia"/>
          <w:sz w:val="24"/>
          <w:szCs w:val="24"/>
        </w:rPr>
        <w:t>转换、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固定费用以及基金的后端模式申购手续费等其他业务手续费。</w:t>
      </w:r>
    </w:p>
    <w:p w:rsidR="006512B5" w:rsidRPr="009C1B3D" w:rsidRDefault="00E004D4">
      <w:pPr>
        <w:pStyle w:val="1"/>
        <w:spacing w:line="360" w:lineRule="auto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/>
          <w:sz w:val="24"/>
          <w:szCs w:val="24"/>
        </w:rPr>
        <w:t>3、投资者欲了解各基金产品的详细情况，请仔细阅读各基金的基金合同、招募说明书（更新）等法律文件及本公司的风险提示。</w:t>
      </w:r>
    </w:p>
    <w:p w:rsidR="006512B5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/>
          <w:sz w:val="24"/>
          <w:szCs w:val="24"/>
        </w:rPr>
        <w:t>4、本公告解释权归本公司所有。</w:t>
      </w:r>
    </w:p>
    <w:p w:rsidR="006512B5" w:rsidRPr="009C1B3D" w:rsidRDefault="00E004D4" w:rsidP="00B10489">
      <w:pPr>
        <w:pStyle w:val="1"/>
        <w:spacing w:beforeLines="50" w:line="360" w:lineRule="auto"/>
        <w:ind w:firstLineChars="0" w:firstLine="0"/>
        <w:outlineLvl w:val="0"/>
        <w:rPr>
          <w:rFonts w:asciiTheme="minorEastAsia" w:eastAsiaTheme="minorEastAsia" w:hAnsiTheme="minorEastAsia"/>
          <w:b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b/>
          <w:sz w:val="24"/>
          <w:szCs w:val="24"/>
        </w:rPr>
        <w:t>四、投资者可通过以下途径咨询有关详情</w:t>
      </w:r>
    </w:p>
    <w:p w:rsidR="00F82314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/>
          <w:sz w:val="24"/>
          <w:szCs w:val="24"/>
        </w:rPr>
        <w:t>1、</w:t>
      </w:r>
      <w:r w:rsidR="00FD6FC3">
        <w:rPr>
          <w:rFonts w:asciiTheme="minorEastAsia" w:eastAsiaTheme="minorEastAsia" w:hAnsiTheme="minorEastAsia" w:hint="eastAsia"/>
          <w:sz w:val="24"/>
          <w:szCs w:val="24"/>
        </w:rPr>
        <w:t>海银基金销售有限公司</w:t>
      </w:r>
      <w:r w:rsidR="00287E1A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</w:p>
    <w:p w:rsidR="00F82314" w:rsidRPr="009C1B3D" w:rsidRDefault="00F8231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sz w:val="24"/>
          <w:szCs w:val="24"/>
        </w:rPr>
        <w:t>客服电话：</w:t>
      </w:r>
      <w:r w:rsidR="00FD6FC3" w:rsidRPr="00FD6FC3">
        <w:rPr>
          <w:rFonts w:asciiTheme="minorEastAsia" w:eastAsiaTheme="minorEastAsia" w:hAnsiTheme="minorEastAsia"/>
          <w:sz w:val="24"/>
          <w:szCs w:val="24"/>
        </w:rPr>
        <w:t>4008081016</w:t>
      </w:r>
    </w:p>
    <w:p w:rsidR="0075241C" w:rsidRPr="002C2129" w:rsidRDefault="00F8231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C2129">
        <w:rPr>
          <w:rFonts w:asciiTheme="minorEastAsia" w:eastAsiaTheme="minorEastAsia" w:hAnsiTheme="minorEastAsia" w:hint="eastAsia"/>
          <w:sz w:val="24"/>
          <w:szCs w:val="24"/>
        </w:rPr>
        <w:t>公司网址</w:t>
      </w:r>
      <w:r w:rsidR="00DC6A6E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FD6FC3" w:rsidRPr="00FD6FC3">
        <w:rPr>
          <w:rFonts w:asciiTheme="minorEastAsia" w:eastAsiaTheme="minorEastAsia" w:hAnsiTheme="minorEastAsia"/>
          <w:sz w:val="24"/>
          <w:szCs w:val="24"/>
        </w:rPr>
        <w:t>www.fundhaiyin.com</w:t>
      </w:r>
    </w:p>
    <w:p w:rsidR="006512B5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/>
          <w:sz w:val="24"/>
          <w:szCs w:val="24"/>
        </w:rPr>
        <w:t>2、诺德基金管理有限公司</w:t>
      </w:r>
    </w:p>
    <w:p w:rsidR="006512B5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sz w:val="24"/>
          <w:szCs w:val="24"/>
        </w:rPr>
        <w:t>客服电话：</w:t>
      </w:r>
      <w:r w:rsidRPr="009C1B3D">
        <w:rPr>
          <w:rFonts w:asciiTheme="minorEastAsia" w:eastAsiaTheme="minorEastAsia" w:hAnsiTheme="minorEastAsia"/>
          <w:sz w:val="24"/>
          <w:szCs w:val="24"/>
        </w:rPr>
        <w:t>400-888-0009</w:t>
      </w:r>
    </w:p>
    <w:p w:rsidR="006512B5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sz w:val="24"/>
          <w:szCs w:val="24"/>
        </w:rPr>
        <w:t>公司网站：</w:t>
      </w:r>
      <w:hyperlink r:id="rId7" w:history="1">
        <w:r w:rsidRPr="009C1B3D">
          <w:rPr>
            <w:rFonts w:asciiTheme="minorEastAsia" w:eastAsiaTheme="minorEastAsia" w:hAnsiTheme="minorEastAsia"/>
            <w:sz w:val="24"/>
            <w:szCs w:val="24"/>
          </w:rPr>
          <w:t>www.nuodefund.com</w:t>
        </w:r>
      </w:hyperlink>
    </w:p>
    <w:p w:rsidR="006512B5" w:rsidRPr="009C1B3D" w:rsidRDefault="006512B5">
      <w:pPr>
        <w:pStyle w:val="1"/>
        <w:spacing w:line="360" w:lineRule="auto"/>
        <w:ind w:left="360" w:firstLineChars="0" w:firstLine="0"/>
        <w:rPr>
          <w:rFonts w:asciiTheme="minorEastAsia" w:eastAsiaTheme="minorEastAsia" w:hAnsiTheme="minorEastAsia"/>
          <w:sz w:val="24"/>
          <w:szCs w:val="24"/>
        </w:rPr>
      </w:pPr>
    </w:p>
    <w:p w:rsidR="006512B5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sz w:val="24"/>
          <w:szCs w:val="24"/>
        </w:rPr>
        <w:t>风险提示：本公司承诺以诚实信用、勤勉尽责的原则管理和运用基金资产，但不保证基金一定盈利，也不保证最低收益。</w:t>
      </w:r>
      <w:r w:rsidR="00847022" w:rsidRPr="009C1B3D">
        <w:rPr>
          <w:rFonts w:asciiTheme="minorEastAsia" w:eastAsiaTheme="minorEastAsia" w:hAnsiTheme="minorEastAsia" w:hint="eastAsia"/>
          <w:sz w:val="24"/>
          <w:szCs w:val="24"/>
        </w:rPr>
        <w:t>定期定额投资是引导投资人进行长期投资、平均投资成本的一种简单易行的投资方式。但是定期定额投资并不能规避基金投资所固有的风险，不能保证投资人获得收益，也不是替代储蓄的等效理</w:t>
      </w:r>
      <w:r w:rsidR="00847022" w:rsidRPr="009C1B3D">
        <w:rPr>
          <w:rFonts w:asciiTheme="minorEastAsia" w:eastAsiaTheme="minorEastAsia" w:hAnsiTheme="minorEastAsia" w:hint="eastAsia"/>
          <w:sz w:val="24"/>
          <w:szCs w:val="24"/>
        </w:rPr>
        <w:lastRenderedPageBreak/>
        <w:t>财方式。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投资者投资于本公司管理的基金时应认真阅读基金合同、招募说明书（更新）等法律文件，并注意投资风险。</w:t>
      </w:r>
    </w:p>
    <w:p w:rsidR="006512B5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sz w:val="24"/>
          <w:szCs w:val="24"/>
        </w:rPr>
        <w:t>特此公告。</w:t>
      </w:r>
    </w:p>
    <w:p w:rsidR="006512B5" w:rsidRPr="009C1B3D" w:rsidRDefault="006512B5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F82314" w:rsidRPr="009C1B3D" w:rsidRDefault="00F82314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/>
          <w:sz w:val="24"/>
          <w:szCs w:val="24"/>
        </w:rPr>
        <w:t xml:space="preserve">                                            </w:t>
      </w:r>
      <w:r w:rsidR="00E004D4" w:rsidRPr="009C1B3D">
        <w:rPr>
          <w:rFonts w:asciiTheme="minorEastAsia" w:eastAsiaTheme="minorEastAsia" w:hAnsiTheme="minorEastAsia" w:hint="eastAsia"/>
          <w:sz w:val="24"/>
          <w:szCs w:val="24"/>
        </w:rPr>
        <w:t>诺德基金管理有限公司</w:t>
      </w:r>
    </w:p>
    <w:p w:rsidR="00900620" w:rsidRPr="009C1B3D" w:rsidRDefault="00E004D4">
      <w:pPr>
        <w:spacing w:line="360" w:lineRule="auto"/>
        <w:ind w:firstLineChars="2300" w:firstLine="552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/>
          <w:sz w:val="24"/>
          <w:szCs w:val="24"/>
        </w:rPr>
        <w:t>202</w:t>
      </w:r>
      <w:r w:rsidR="00A87533">
        <w:rPr>
          <w:rFonts w:asciiTheme="minorEastAsia" w:eastAsiaTheme="minorEastAsia" w:hAnsiTheme="minorEastAsia"/>
          <w:sz w:val="24"/>
          <w:szCs w:val="24"/>
        </w:rPr>
        <w:t>1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FD6FC3">
        <w:rPr>
          <w:rFonts w:asciiTheme="minorEastAsia" w:eastAsiaTheme="minorEastAsia" w:hAnsiTheme="minorEastAsia"/>
          <w:sz w:val="24"/>
          <w:szCs w:val="24"/>
        </w:rPr>
        <w:t>10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FD6FC3">
        <w:rPr>
          <w:rFonts w:asciiTheme="minorEastAsia" w:eastAsiaTheme="minorEastAsia" w:hAnsiTheme="minorEastAsia"/>
          <w:sz w:val="24"/>
          <w:szCs w:val="24"/>
        </w:rPr>
        <w:t>12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sectPr w:rsidR="00900620" w:rsidRPr="009C1B3D" w:rsidSect="007B1EA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E37" w:rsidRDefault="00BD5E37">
      <w:pPr>
        <w:rPr>
          <w:sz w:val="18"/>
        </w:rPr>
      </w:pPr>
    </w:p>
  </w:endnote>
  <w:endnote w:type="continuationSeparator" w:id="0">
    <w:p w:rsidR="00BD5E37" w:rsidRDefault="00BD5E37">
      <w:pPr>
        <w:rPr>
          <w:sz w:val="1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E37" w:rsidRDefault="00BD5E37">
      <w:pPr>
        <w:rPr>
          <w:sz w:val="18"/>
        </w:rPr>
      </w:pPr>
    </w:p>
  </w:footnote>
  <w:footnote w:type="continuationSeparator" w:id="0">
    <w:p w:rsidR="00BD5E37" w:rsidRDefault="00BD5E37">
      <w:pPr>
        <w:rPr>
          <w:sz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44F9"/>
    <w:rsid w:val="00006B0F"/>
    <w:rsid w:val="00012890"/>
    <w:rsid w:val="00012FC0"/>
    <w:rsid w:val="000327A8"/>
    <w:rsid w:val="00037E22"/>
    <w:rsid w:val="00052D51"/>
    <w:rsid w:val="00063C1B"/>
    <w:rsid w:val="00064238"/>
    <w:rsid w:val="000744D7"/>
    <w:rsid w:val="000A0657"/>
    <w:rsid w:val="000B027D"/>
    <w:rsid w:val="000B30E3"/>
    <w:rsid w:val="000C43E5"/>
    <w:rsid w:val="000D70C2"/>
    <w:rsid w:val="000E066C"/>
    <w:rsid w:val="000E21D5"/>
    <w:rsid w:val="000E6EAE"/>
    <w:rsid w:val="000F3304"/>
    <w:rsid w:val="000F5BD0"/>
    <w:rsid w:val="000F67B3"/>
    <w:rsid w:val="00100504"/>
    <w:rsid w:val="00111CD0"/>
    <w:rsid w:val="0011271E"/>
    <w:rsid w:val="00117727"/>
    <w:rsid w:val="001652D1"/>
    <w:rsid w:val="00191B44"/>
    <w:rsid w:val="00192AE7"/>
    <w:rsid w:val="00194569"/>
    <w:rsid w:val="001A358B"/>
    <w:rsid w:val="001A5BBE"/>
    <w:rsid w:val="001A5D31"/>
    <w:rsid w:val="001A7EEF"/>
    <w:rsid w:val="001B56A9"/>
    <w:rsid w:val="001B65BF"/>
    <w:rsid w:val="001E3125"/>
    <w:rsid w:val="001E74F5"/>
    <w:rsid w:val="001F44F9"/>
    <w:rsid w:val="00223049"/>
    <w:rsid w:val="00233279"/>
    <w:rsid w:val="002472A6"/>
    <w:rsid w:val="00250D58"/>
    <w:rsid w:val="00252803"/>
    <w:rsid w:val="00254174"/>
    <w:rsid w:val="00255A06"/>
    <w:rsid w:val="002562F8"/>
    <w:rsid w:val="0026283E"/>
    <w:rsid w:val="00267798"/>
    <w:rsid w:val="002701D0"/>
    <w:rsid w:val="00274E6F"/>
    <w:rsid w:val="0028298C"/>
    <w:rsid w:val="00282C3B"/>
    <w:rsid w:val="00287E1A"/>
    <w:rsid w:val="002B1E9A"/>
    <w:rsid w:val="002B625F"/>
    <w:rsid w:val="002C1224"/>
    <w:rsid w:val="002C2129"/>
    <w:rsid w:val="002D40F7"/>
    <w:rsid w:val="002E037B"/>
    <w:rsid w:val="002E3E0A"/>
    <w:rsid w:val="002E4A05"/>
    <w:rsid w:val="002F5858"/>
    <w:rsid w:val="002F681E"/>
    <w:rsid w:val="0030434C"/>
    <w:rsid w:val="0032410F"/>
    <w:rsid w:val="00324E6E"/>
    <w:rsid w:val="00337BAF"/>
    <w:rsid w:val="00343BCF"/>
    <w:rsid w:val="0035457A"/>
    <w:rsid w:val="0036720D"/>
    <w:rsid w:val="003721C2"/>
    <w:rsid w:val="003824CD"/>
    <w:rsid w:val="00386F3D"/>
    <w:rsid w:val="00387770"/>
    <w:rsid w:val="0039320B"/>
    <w:rsid w:val="003A03D8"/>
    <w:rsid w:val="003A17E2"/>
    <w:rsid w:val="003B0DE8"/>
    <w:rsid w:val="003C22A1"/>
    <w:rsid w:val="003C74E9"/>
    <w:rsid w:val="00433B7E"/>
    <w:rsid w:val="004541A0"/>
    <w:rsid w:val="00456A15"/>
    <w:rsid w:val="00481B67"/>
    <w:rsid w:val="00482983"/>
    <w:rsid w:val="004A0E11"/>
    <w:rsid w:val="004A691E"/>
    <w:rsid w:val="004C5B38"/>
    <w:rsid w:val="004D1272"/>
    <w:rsid w:val="004E1E30"/>
    <w:rsid w:val="004E71E1"/>
    <w:rsid w:val="004F5615"/>
    <w:rsid w:val="005042A8"/>
    <w:rsid w:val="00513549"/>
    <w:rsid w:val="00514481"/>
    <w:rsid w:val="00520668"/>
    <w:rsid w:val="00524A3A"/>
    <w:rsid w:val="00525B74"/>
    <w:rsid w:val="005264F4"/>
    <w:rsid w:val="0053228C"/>
    <w:rsid w:val="00540037"/>
    <w:rsid w:val="0054592A"/>
    <w:rsid w:val="00552C76"/>
    <w:rsid w:val="00556463"/>
    <w:rsid w:val="00567E70"/>
    <w:rsid w:val="005702EB"/>
    <w:rsid w:val="005940BE"/>
    <w:rsid w:val="005974AB"/>
    <w:rsid w:val="005A3699"/>
    <w:rsid w:val="005A465F"/>
    <w:rsid w:val="005A6B99"/>
    <w:rsid w:val="005B606A"/>
    <w:rsid w:val="005C2854"/>
    <w:rsid w:val="005C6A94"/>
    <w:rsid w:val="005D7CF2"/>
    <w:rsid w:val="005E3BC0"/>
    <w:rsid w:val="005E7FA0"/>
    <w:rsid w:val="0060393A"/>
    <w:rsid w:val="006041E9"/>
    <w:rsid w:val="00607FC4"/>
    <w:rsid w:val="0061144D"/>
    <w:rsid w:val="00611F38"/>
    <w:rsid w:val="0061675E"/>
    <w:rsid w:val="006436A8"/>
    <w:rsid w:val="00647146"/>
    <w:rsid w:val="00647DFD"/>
    <w:rsid w:val="006512B5"/>
    <w:rsid w:val="00666D62"/>
    <w:rsid w:val="006B5342"/>
    <w:rsid w:val="006C2607"/>
    <w:rsid w:val="006C55F0"/>
    <w:rsid w:val="006D0397"/>
    <w:rsid w:val="006D3DB4"/>
    <w:rsid w:val="006E0E34"/>
    <w:rsid w:val="006F34E5"/>
    <w:rsid w:val="00701D56"/>
    <w:rsid w:val="007135C2"/>
    <w:rsid w:val="0072207E"/>
    <w:rsid w:val="00725661"/>
    <w:rsid w:val="0072682B"/>
    <w:rsid w:val="00732AC7"/>
    <w:rsid w:val="007355F5"/>
    <w:rsid w:val="00741754"/>
    <w:rsid w:val="007500A0"/>
    <w:rsid w:val="0075241C"/>
    <w:rsid w:val="00762E82"/>
    <w:rsid w:val="00767BE8"/>
    <w:rsid w:val="00770E74"/>
    <w:rsid w:val="0077424B"/>
    <w:rsid w:val="00775B74"/>
    <w:rsid w:val="00787226"/>
    <w:rsid w:val="00787462"/>
    <w:rsid w:val="00791772"/>
    <w:rsid w:val="00791E91"/>
    <w:rsid w:val="007A1BC4"/>
    <w:rsid w:val="007B1EA4"/>
    <w:rsid w:val="007B2F42"/>
    <w:rsid w:val="007B582C"/>
    <w:rsid w:val="007B5B0E"/>
    <w:rsid w:val="007C39A2"/>
    <w:rsid w:val="007D0539"/>
    <w:rsid w:val="007D53F1"/>
    <w:rsid w:val="007E2EFC"/>
    <w:rsid w:val="00815501"/>
    <w:rsid w:val="00833A3B"/>
    <w:rsid w:val="00841D85"/>
    <w:rsid w:val="00842B4F"/>
    <w:rsid w:val="008444A5"/>
    <w:rsid w:val="00847022"/>
    <w:rsid w:val="008562EC"/>
    <w:rsid w:val="008617E2"/>
    <w:rsid w:val="0086186B"/>
    <w:rsid w:val="00862F40"/>
    <w:rsid w:val="008749EE"/>
    <w:rsid w:val="0088183E"/>
    <w:rsid w:val="00886C22"/>
    <w:rsid w:val="008B0F92"/>
    <w:rsid w:val="008F03B2"/>
    <w:rsid w:val="008F0D51"/>
    <w:rsid w:val="008F5D45"/>
    <w:rsid w:val="00900620"/>
    <w:rsid w:val="00904089"/>
    <w:rsid w:val="00907EFD"/>
    <w:rsid w:val="00912493"/>
    <w:rsid w:val="00917110"/>
    <w:rsid w:val="00936A20"/>
    <w:rsid w:val="00944A61"/>
    <w:rsid w:val="00945C3D"/>
    <w:rsid w:val="00946A7B"/>
    <w:rsid w:val="009524FE"/>
    <w:rsid w:val="00952AE4"/>
    <w:rsid w:val="009673C9"/>
    <w:rsid w:val="009704B7"/>
    <w:rsid w:val="00976CA5"/>
    <w:rsid w:val="00983911"/>
    <w:rsid w:val="0098479E"/>
    <w:rsid w:val="00985EF4"/>
    <w:rsid w:val="009B1363"/>
    <w:rsid w:val="009C14D9"/>
    <w:rsid w:val="009C1B3D"/>
    <w:rsid w:val="009C1BD6"/>
    <w:rsid w:val="009D3215"/>
    <w:rsid w:val="009D69F7"/>
    <w:rsid w:val="009E36EA"/>
    <w:rsid w:val="009E556E"/>
    <w:rsid w:val="00A1487E"/>
    <w:rsid w:val="00A16479"/>
    <w:rsid w:val="00A2388B"/>
    <w:rsid w:val="00A2591F"/>
    <w:rsid w:val="00A25CAD"/>
    <w:rsid w:val="00A33455"/>
    <w:rsid w:val="00A34D7F"/>
    <w:rsid w:val="00A359AF"/>
    <w:rsid w:val="00A46D42"/>
    <w:rsid w:val="00A53646"/>
    <w:rsid w:val="00A72055"/>
    <w:rsid w:val="00A76CD8"/>
    <w:rsid w:val="00A8356C"/>
    <w:rsid w:val="00A8458B"/>
    <w:rsid w:val="00A87533"/>
    <w:rsid w:val="00AA5C4B"/>
    <w:rsid w:val="00AB2684"/>
    <w:rsid w:val="00AB3A29"/>
    <w:rsid w:val="00B01972"/>
    <w:rsid w:val="00B10489"/>
    <w:rsid w:val="00B10EED"/>
    <w:rsid w:val="00B25040"/>
    <w:rsid w:val="00B31F22"/>
    <w:rsid w:val="00B3332B"/>
    <w:rsid w:val="00B43FEA"/>
    <w:rsid w:val="00B736EA"/>
    <w:rsid w:val="00B80021"/>
    <w:rsid w:val="00B83AE0"/>
    <w:rsid w:val="00B8760A"/>
    <w:rsid w:val="00B96CB0"/>
    <w:rsid w:val="00B97B39"/>
    <w:rsid w:val="00BB33DB"/>
    <w:rsid w:val="00BD110E"/>
    <w:rsid w:val="00BD4869"/>
    <w:rsid w:val="00BD5E37"/>
    <w:rsid w:val="00BE2E6B"/>
    <w:rsid w:val="00BF268D"/>
    <w:rsid w:val="00C21116"/>
    <w:rsid w:val="00C73EB6"/>
    <w:rsid w:val="00C83148"/>
    <w:rsid w:val="00C87B31"/>
    <w:rsid w:val="00C94100"/>
    <w:rsid w:val="00C9550F"/>
    <w:rsid w:val="00C95A10"/>
    <w:rsid w:val="00CA664F"/>
    <w:rsid w:val="00CB5437"/>
    <w:rsid w:val="00CC14E7"/>
    <w:rsid w:val="00CC15CF"/>
    <w:rsid w:val="00CD039A"/>
    <w:rsid w:val="00CD31FD"/>
    <w:rsid w:val="00CD42FA"/>
    <w:rsid w:val="00CD6E71"/>
    <w:rsid w:val="00CE21D9"/>
    <w:rsid w:val="00CE254A"/>
    <w:rsid w:val="00CE30AC"/>
    <w:rsid w:val="00CE68C6"/>
    <w:rsid w:val="00D02E81"/>
    <w:rsid w:val="00D11648"/>
    <w:rsid w:val="00D16A5E"/>
    <w:rsid w:val="00D21021"/>
    <w:rsid w:val="00D4071A"/>
    <w:rsid w:val="00D612D1"/>
    <w:rsid w:val="00D65472"/>
    <w:rsid w:val="00D70D30"/>
    <w:rsid w:val="00D76186"/>
    <w:rsid w:val="00D764AF"/>
    <w:rsid w:val="00D8134B"/>
    <w:rsid w:val="00D97DE9"/>
    <w:rsid w:val="00DB133A"/>
    <w:rsid w:val="00DB4D26"/>
    <w:rsid w:val="00DC19B1"/>
    <w:rsid w:val="00DC6A6E"/>
    <w:rsid w:val="00DD03CD"/>
    <w:rsid w:val="00DE2672"/>
    <w:rsid w:val="00DE38AF"/>
    <w:rsid w:val="00DE53F1"/>
    <w:rsid w:val="00DE6CE3"/>
    <w:rsid w:val="00DE78BF"/>
    <w:rsid w:val="00DE7BAD"/>
    <w:rsid w:val="00E004D4"/>
    <w:rsid w:val="00E02194"/>
    <w:rsid w:val="00E05955"/>
    <w:rsid w:val="00E13377"/>
    <w:rsid w:val="00E145C7"/>
    <w:rsid w:val="00E21258"/>
    <w:rsid w:val="00E47C55"/>
    <w:rsid w:val="00E627C1"/>
    <w:rsid w:val="00E77901"/>
    <w:rsid w:val="00E7791D"/>
    <w:rsid w:val="00E77939"/>
    <w:rsid w:val="00E8117B"/>
    <w:rsid w:val="00E81E84"/>
    <w:rsid w:val="00E83925"/>
    <w:rsid w:val="00E97B67"/>
    <w:rsid w:val="00EA76B3"/>
    <w:rsid w:val="00EA7E66"/>
    <w:rsid w:val="00EB0B7F"/>
    <w:rsid w:val="00EB3FF3"/>
    <w:rsid w:val="00ED06EB"/>
    <w:rsid w:val="00EE6A8D"/>
    <w:rsid w:val="00F01921"/>
    <w:rsid w:val="00F02AD2"/>
    <w:rsid w:val="00F02D4B"/>
    <w:rsid w:val="00F078B9"/>
    <w:rsid w:val="00F1031A"/>
    <w:rsid w:val="00F303E1"/>
    <w:rsid w:val="00F46BB7"/>
    <w:rsid w:val="00F52B6D"/>
    <w:rsid w:val="00F52BC2"/>
    <w:rsid w:val="00F63C44"/>
    <w:rsid w:val="00F67FB6"/>
    <w:rsid w:val="00F713FA"/>
    <w:rsid w:val="00F82314"/>
    <w:rsid w:val="00F93AAD"/>
    <w:rsid w:val="00FA4D48"/>
    <w:rsid w:val="00FA5A32"/>
    <w:rsid w:val="00FC797E"/>
    <w:rsid w:val="00FD0CB6"/>
    <w:rsid w:val="00FD0E59"/>
    <w:rsid w:val="00FD6FC3"/>
    <w:rsid w:val="00FD723B"/>
    <w:rsid w:val="00FE2437"/>
    <w:rsid w:val="00FF0215"/>
    <w:rsid w:val="00FF682C"/>
    <w:rsid w:val="01E91CA8"/>
    <w:rsid w:val="02F302EB"/>
    <w:rsid w:val="0BDB7065"/>
    <w:rsid w:val="23EA21C0"/>
    <w:rsid w:val="281953F6"/>
    <w:rsid w:val="2AA07F4C"/>
    <w:rsid w:val="2C177EA3"/>
    <w:rsid w:val="2C29199C"/>
    <w:rsid w:val="2C542764"/>
    <w:rsid w:val="2DA815EE"/>
    <w:rsid w:val="2F303907"/>
    <w:rsid w:val="320D23FD"/>
    <w:rsid w:val="38727660"/>
    <w:rsid w:val="3A9A7601"/>
    <w:rsid w:val="3E601F24"/>
    <w:rsid w:val="45847EB4"/>
    <w:rsid w:val="45BD1B5D"/>
    <w:rsid w:val="4EB5392D"/>
    <w:rsid w:val="533A1A33"/>
    <w:rsid w:val="60F74389"/>
    <w:rsid w:val="623A0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A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7B1EA4"/>
    <w:rPr>
      <w:color w:val="0000FF"/>
      <w:u w:val="single"/>
    </w:rPr>
  </w:style>
  <w:style w:type="character" w:styleId="a4">
    <w:name w:val="annotation reference"/>
    <w:basedOn w:val="a0"/>
    <w:uiPriority w:val="99"/>
    <w:unhideWhenUsed/>
    <w:qFormat/>
    <w:rsid w:val="007B1EA4"/>
    <w:rPr>
      <w:sz w:val="21"/>
      <w:szCs w:val="21"/>
    </w:rPr>
  </w:style>
  <w:style w:type="character" w:customStyle="1" w:styleId="Char">
    <w:name w:val="批注框文本 Char"/>
    <w:basedOn w:val="a0"/>
    <w:link w:val="a5"/>
    <w:uiPriority w:val="99"/>
    <w:semiHidden/>
    <w:qFormat/>
    <w:rsid w:val="007B1EA4"/>
    <w:rPr>
      <w:sz w:val="18"/>
      <w:szCs w:val="18"/>
    </w:rPr>
  </w:style>
  <w:style w:type="character" w:customStyle="1" w:styleId="Char0">
    <w:name w:val="批注文字 Char"/>
    <w:basedOn w:val="a0"/>
    <w:link w:val="a6"/>
    <w:uiPriority w:val="99"/>
    <w:semiHidden/>
    <w:qFormat/>
    <w:rsid w:val="007B1EA4"/>
  </w:style>
  <w:style w:type="character" w:customStyle="1" w:styleId="Char1">
    <w:name w:val="页眉 Char"/>
    <w:basedOn w:val="a0"/>
    <w:link w:val="a7"/>
    <w:uiPriority w:val="99"/>
    <w:qFormat/>
    <w:rsid w:val="007B1EA4"/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qFormat/>
    <w:rsid w:val="007B1EA4"/>
    <w:rPr>
      <w:sz w:val="18"/>
      <w:szCs w:val="18"/>
    </w:rPr>
  </w:style>
  <w:style w:type="character" w:customStyle="1" w:styleId="Char3">
    <w:name w:val="批注主题 Char"/>
    <w:basedOn w:val="Char0"/>
    <w:link w:val="a9"/>
    <w:uiPriority w:val="99"/>
    <w:semiHidden/>
    <w:rsid w:val="007B1EA4"/>
    <w:rPr>
      <w:b/>
      <w:bCs/>
    </w:rPr>
  </w:style>
  <w:style w:type="paragraph" w:styleId="a7">
    <w:name w:val="header"/>
    <w:basedOn w:val="a"/>
    <w:link w:val="Char1"/>
    <w:uiPriority w:val="99"/>
    <w:unhideWhenUsed/>
    <w:qFormat/>
    <w:rsid w:val="007B1E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qFormat/>
    <w:rsid w:val="007B1E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annotation text"/>
    <w:basedOn w:val="a"/>
    <w:link w:val="Char0"/>
    <w:uiPriority w:val="99"/>
    <w:unhideWhenUsed/>
    <w:qFormat/>
    <w:rsid w:val="007B1EA4"/>
    <w:pPr>
      <w:jc w:val="left"/>
    </w:pPr>
  </w:style>
  <w:style w:type="paragraph" w:styleId="a5">
    <w:name w:val="Balloon Text"/>
    <w:basedOn w:val="a"/>
    <w:link w:val="Char"/>
    <w:uiPriority w:val="99"/>
    <w:unhideWhenUsed/>
    <w:qFormat/>
    <w:rsid w:val="007B1EA4"/>
    <w:rPr>
      <w:sz w:val="18"/>
      <w:szCs w:val="18"/>
    </w:rPr>
  </w:style>
  <w:style w:type="paragraph" w:styleId="a9">
    <w:name w:val="annotation subject"/>
    <w:basedOn w:val="a6"/>
    <w:next w:val="a6"/>
    <w:link w:val="Char3"/>
    <w:uiPriority w:val="99"/>
    <w:unhideWhenUsed/>
    <w:qFormat/>
    <w:rsid w:val="007B1EA4"/>
    <w:rPr>
      <w:b/>
      <w:bCs/>
    </w:rPr>
  </w:style>
  <w:style w:type="paragraph" w:customStyle="1" w:styleId="1">
    <w:name w:val="列出段落1"/>
    <w:basedOn w:val="a"/>
    <w:uiPriority w:val="34"/>
    <w:qFormat/>
    <w:rsid w:val="007B1EA4"/>
    <w:pPr>
      <w:ind w:firstLineChars="200" w:firstLine="420"/>
    </w:pPr>
  </w:style>
  <w:style w:type="paragraph" w:customStyle="1" w:styleId="10">
    <w:name w:val="修订1"/>
    <w:uiPriority w:val="99"/>
    <w:semiHidden/>
    <w:rsid w:val="007B1EA4"/>
    <w:rPr>
      <w:rFonts w:ascii="Calibri" w:hAnsi="Calibri"/>
      <w:kern w:val="2"/>
      <w:sz w:val="21"/>
      <w:szCs w:val="22"/>
    </w:rPr>
  </w:style>
  <w:style w:type="table" w:styleId="aa">
    <w:name w:val="Table Grid"/>
    <w:basedOn w:val="a1"/>
    <w:uiPriority w:val="59"/>
    <w:qFormat/>
    <w:rsid w:val="007B1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Revision"/>
    <w:hidden/>
    <w:uiPriority w:val="71"/>
    <w:rsid w:val="00900620"/>
    <w:rPr>
      <w:rFonts w:ascii="Calibri" w:hAnsi="Calibri"/>
      <w:kern w:val="2"/>
      <w:sz w:val="21"/>
      <w:szCs w:val="22"/>
    </w:rPr>
  </w:style>
  <w:style w:type="character" w:styleId="ac">
    <w:name w:val="FollowedHyperlink"/>
    <w:basedOn w:val="a0"/>
    <w:uiPriority w:val="99"/>
    <w:semiHidden/>
    <w:unhideWhenUsed/>
    <w:rsid w:val="005B606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uodefun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71C46-8370-4381-85B7-471FC7E4F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238</Words>
  <Characters>1363</Characters>
  <Application>Microsoft Office Word</Application>
  <DocSecurity>4</DocSecurity>
  <Lines>11</Lines>
  <Paragraphs>3</Paragraphs>
  <ScaleCrop>false</ScaleCrop>
  <Company>Microsoft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ZHONGM</cp:lastModifiedBy>
  <cp:revision>2</cp:revision>
  <dcterms:created xsi:type="dcterms:W3CDTF">2021-10-11T16:26:00Z</dcterms:created>
  <dcterms:modified xsi:type="dcterms:W3CDTF">2021-10-11T16:26:00Z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