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91" w:rsidRPr="00761C34" w:rsidRDefault="003C13A4" w:rsidP="003E7571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2646D2">
        <w:rPr>
          <w:rFonts w:ascii="仿宋" w:eastAsia="仿宋" w:hAnsi="仿宋" w:hint="eastAsia"/>
          <w:b/>
          <w:color w:val="000000" w:themeColor="text1"/>
          <w:sz w:val="36"/>
          <w:szCs w:val="36"/>
        </w:rPr>
        <w:t>永赢基金管理</w:t>
      </w:r>
      <w:r w:rsidRPr="002646D2">
        <w:rPr>
          <w:rFonts w:ascii="仿宋" w:eastAsia="仿宋" w:hAnsi="仿宋"/>
          <w:b/>
          <w:color w:val="000000" w:themeColor="text1"/>
          <w:sz w:val="36"/>
          <w:szCs w:val="36"/>
        </w:rPr>
        <w:t>有限</w:t>
      </w:r>
      <w:r w:rsidR="006B1691" w:rsidRPr="002646D2">
        <w:rPr>
          <w:rFonts w:ascii="仿宋" w:eastAsia="仿宋" w:hAnsi="仿宋" w:hint="eastAsia"/>
          <w:b/>
          <w:color w:val="000000" w:themeColor="text1"/>
          <w:sz w:val="36"/>
          <w:szCs w:val="36"/>
        </w:rPr>
        <w:t>公</w:t>
      </w:r>
      <w:r w:rsidR="006B1691" w:rsidRPr="00761C34">
        <w:rPr>
          <w:rFonts w:ascii="仿宋" w:eastAsia="仿宋" w:hAnsi="仿宋" w:hint="eastAsia"/>
          <w:b/>
          <w:color w:val="000000" w:themeColor="text1"/>
          <w:sz w:val="36"/>
          <w:szCs w:val="36"/>
        </w:rPr>
        <w:t>司旗下基金</w:t>
      </w:r>
      <w:r w:rsidR="0087530A" w:rsidRPr="00761C34">
        <w:rPr>
          <w:rFonts w:ascii="仿宋" w:eastAsia="仿宋" w:hAnsi="仿宋" w:hint="eastAsia"/>
          <w:b/>
          <w:color w:val="000000" w:themeColor="text1"/>
          <w:sz w:val="36"/>
          <w:szCs w:val="36"/>
        </w:rPr>
        <w:t>20</w:t>
      </w:r>
      <w:r w:rsidR="002646D2" w:rsidRPr="00761C34">
        <w:rPr>
          <w:rFonts w:ascii="仿宋" w:eastAsia="仿宋" w:hAnsi="仿宋"/>
          <w:b/>
          <w:color w:val="000000" w:themeColor="text1"/>
          <w:sz w:val="36"/>
          <w:szCs w:val="36"/>
        </w:rPr>
        <w:t>20</w:t>
      </w:r>
      <w:r w:rsidR="0087530A" w:rsidRPr="00761C34">
        <w:rPr>
          <w:rFonts w:ascii="仿宋" w:eastAsia="仿宋" w:hAnsi="仿宋" w:hint="eastAsia"/>
          <w:b/>
          <w:color w:val="000000" w:themeColor="text1"/>
          <w:sz w:val="36"/>
          <w:szCs w:val="36"/>
        </w:rPr>
        <w:t>年</w:t>
      </w:r>
      <w:r w:rsidR="0087530A" w:rsidRPr="00761C34">
        <w:rPr>
          <w:rFonts w:ascii="仿宋" w:eastAsia="仿宋" w:hAnsi="仿宋"/>
          <w:b/>
          <w:color w:val="000000" w:themeColor="text1"/>
          <w:sz w:val="36"/>
          <w:szCs w:val="36"/>
        </w:rPr>
        <w:t>第</w:t>
      </w:r>
      <w:r w:rsidR="006D3C11">
        <w:rPr>
          <w:rFonts w:ascii="仿宋" w:eastAsia="仿宋" w:hAnsi="仿宋"/>
          <w:b/>
          <w:color w:val="000000" w:themeColor="text1"/>
          <w:sz w:val="36"/>
          <w:szCs w:val="36"/>
        </w:rPr>
        <w:t>4</w:t>
      </w:r>
      <w:r w:rsidR="006B1691" w:rsidRPr="00761C34">
        <w:rPr>
          <w:rFonts w:ascii="仿宋" w:eastAsia="仿宋" w:hAnsi="仿宋" w:hint="eastAsia"/>
          <w:b/>
          <w:color w:val="000000" w:themeColor="text1"/>
          <w:sz w:val="36"/>
          <w:szCs w:val="36"/>
        </w:rPr>
        <w:t>季度报告提示性公告</w:t>
      </w:r>
    </w:p>
    <w:p w:rsidR="006B1691" w:rsidRPr="00761C34" w:rsidRDefault="006B1691" w:rsidP="003E757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6B1691" w:rsidRPr="00761C34" w:rsidRDefault="006B1691" w:rsidP="008753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87530A"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87530A"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2646D2" w:rsidRPr="00761C34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87530A"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7530A" w:rsidRPr="00761C34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6D3C11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6B1691" w:rsidRPr="00761C34" w:rsidRDefault="003C13A4" w:rsidP="003C13A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永赢基金</w:t>
      </w:r>
      <w:r w:rsidRPr="00761C34"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6B1691" w:rsidRPr="00761C34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6B1691"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87530A"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永赢货币市场基金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永赢稳益债券型证券投资基金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永赢双利债券型证券投资基金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永赢丰益债券型证券投资基金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永赢添益债券型证券投资基金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永赢瑞益债券型证券投资基金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永赢天天利货币市场基金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永赢永益债券型证券投资基金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永赢丰利债券型证券投资基金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永赢增益债券型证券投资基金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</w:t>
      </w:r>
      <w:r w:rsidRPr="00761C34">
        <w:rPr>
          <w:rFonts w:ascii="Times New Roman" w:eastAsia="仿宋"/>
          <w:sz w:val="32"/>
          <w:szCs w:val="32"/>
        </w:rPr>
        <w:t>恒益债券型证券投资基金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</w:t>
      </w:r>
      <w:r w:rsidRPr="00761C34">
        <w:rPr>
          <w:rFonts w:ascii="Times New Roman" w:eastAsia="仿宋"/>
          <w:sz w:val="32"/>
          <w:szCs w:val="32"/>
        </w:rPr>
        <w:t>惠添利灵活配置混合型证券投资基金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永赢惠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永赢润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永赢荣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永赢泰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永赢盈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lastRenderedPageBreak/>
        <w:t>永赢嘉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永赢聚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永赢盛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</w:t>
      </w:r>
      <w:r w:rsidRPr="00761C34">
        <w:rPr>
          <w:rFonts w:ascii="Times New Roman" w:eastAsia="仿宋"/>
          <w:sz w:val="32"/>
          <w:szCs w:val="32"/>
        </w:rPr>
        <w:t>裕益债券型证券投资基金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永赢祥益债券型证券投资基金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</w:t>
      </w:r>
      <w:r w:rsidRPr="00761C34">
        <w:rPr>
          <w:rFonts w:ascii="Times New Roman" w:eastAsia="仿宋" w:hint="eastAsia"/>
          <w:sz w:val="32"/>
          <w:szCs w:val="32"/>
        </w:rPr>
        <w:t>通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永赢诚益债券型证券投资基金</w:t>
      </w:r>
    </w:p>
    <w:p w:rsidR="0087530A" w:rsidRPr="00761C34" w:rsidRDefault="0087530A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永赢伟益债券型证券投资基金</w:t>
      </w:r>
    </w:p>
    <w:p w:rsidR="0087530A" w:rsidRPr="00761C34" w:rsidRDefault="0087530A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永赢昌益债券型证券投资基金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永赢宏益债券型证券投资基金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</w:t>
      </w:r>
      <w:r w:rsidRPr="00761C34">
        <w:rPr>
          <w:rFonts w:ascii="Times New Roman" w:eastAsia="仿宋" w:hint="eastAsia"/>
          <w:sz w:val="32"/>
          <w:szCs w:val="32"/>
        </w:rPr>
        <w:t>合益</w:t>
      </w:r>
      <w:r w:rsidRPr="00761C34">
        <w:rPr>
          <w:rFonts w:ascii="Times New Roman" w:eastAsia="仿宋"/>
          <w:sz w:val="32"/>
          <w:szCs w:val="32"/>
        </w:rPr>
        <w:t>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</w:t>
      </w:r>
      <w:r w:rsidRPr="00761C34">
        <w:rPr>
          <w:rFonts w:ascii="Times New Roman" w:eastAsia="仿宋" w:hint="eastAsia"/>
          <w:sz w:val="32"/>
          <w:szCs w:val="32"/>
        </w:rPr>
        <w:t>颐利</w:t>
      </w:r>
      <w:r w:rsidRPr="00761C34">
        <w:rPr>
          <w:rFonts w:ascii="Times New Roman" w:eastAsia="仿宋"/>
          <w:sz w:val="32"/>
          <w:szCs w:val="32"/>
        </w:rPr>
        <w:t>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</w:t>
      </w:r>
      <w:r w:rsidRPr="00761C34">
        <w:rPr>
          <w:rFonts w:ascii="Times New Roman" w:eastAsia="仿宋" w:hint="eastAsia"/>
          <w:sz w:val="32"/>
          <w:szCs w:val="32"/>
        </w:rPr>
        <w:t>迅利中高</w:t>
      </w:r>
      <w:r w:rsidRPr="00761C34">
        <w:rPr>
          <w:rFonts w:ascii="Times New Roman" w:eastAsia="仿宋"/>
          <w:sz w:val="32"/>
          <w:szCs w:val="32"/>
        </w:rPr>
        <w:t>等级短债债券型证券投资基金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永赢中债</w:t>
      </w:r>
      <w:r w:rsidRPr="00761C34">
        <w:rPr>
          <w:rFonts w:ascii="Times New Roman" w:eastAsia="仿宋" w:hint="eastAsia"/>
          <w:sz w:val="32"/>
          <w:szCs w:val="32"/>
        </w:rPr>
        <w:t>-1-3</w:t>
      </w:r>
      <w:r w:rsidRPr="00761C34">
        <w:rPr>
          <w:rFonts w:ascii="Times New Roman" w:eastAsia="仿宋" w:hint="eastAsia"/>
          <w:sz w:val="32"/>
          <w:szCs w:val="32"/>
        </w:rPr>
        <w:t>年政策性金融债指数证券投资基金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永赢消费主题灵活配置混合型证券投资基金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</w:t>
      </w:r>
      <w:r w:rsidRPr="00761C34">
        <w:rPr>
          <w:rFonts w:ascii="Times New Roman" w:eastAsia="仿宋"/>
          <w:sz w:val="32"/>
          <w:szCs w:val="32"/>
        </w:rPr>
        <w:t>智能领先混合型</w:t>
      </w:r>
      <w:r w:rsidRPr="00761C34">
        <w:rPr>
          <w:rFonts w:ascii="Times New Roman" w:eastAsia="仿宋" w:hint="eastAsia"/>
          <w:sz w:val="32"/>
          <w:szCs w:val="32"/>
        </w:rPr>
        <w:t>证券</w:t>
      </w:r>
      <w:r w:rsidR="0087530A" w:rsidRPr="00761C34">
        <w:rPr>
          <w:rFonts w:ascii="Times New Roman" w:eastAsia="仿宋"/>
          <w:sz w:val="32"/>
          <w:szCs w:val="32"/>
        </w:rPr>
        <w:t>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永赢泰利债券型证券投资基金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永赢悦利债券型证券投资基金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永赢卓利债券型证券投资基金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永赢凯利债券型证券投资基金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永赢智益纯债三个月</w:t>
      </w:r>
      <w:r w:rsidRPr="00761C34">
        <w:rPr>
          <w:rFonts w:ascii="Times New Roman" w:eastAsia="仿宋" w:hint="eastAsia"/>
          <w:sz w:val="32"/>
          <w:szCs w:val="32"/>
        </w:rPr>
        <w:t>定期</w:t>
      </w:r>
      <w:r w:rsidRPr="00761C34">
        <w:rPr>
          <w:rFonts w:ascii="Times New Roman" w:eastAsia="仿宋"/>
          <w:sz w:val="32"/>
          <w:szCs w:val="32"/>
        </w:rPr>
        <w:t>开放债券型发起式证券投资基金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</w:t>
      </w:r>
      <w:r w:rsidRPr="00761C34">
        <w:rPr>
          <w:rFonts w:ascii="Times New Roman" w:eastAsia="仿宋"/>
          <w:sz w:val="32"/>
          <w:szCs w:val="32"/>
        </w:rPr>
        <w:t>沪深</w:t>
      </w:r>
      <w:r w:rsidRPr="00761C34">
        <w:rPr>
          <w:rFonts w:ascii="Times New Roman" w:eastAsia="仿宋" w:hint="eastAsia"/>
          <w:sz w:val="32"/>
          <w:szCs w:val="32"/>
        </w:rPr>
        <w:t>300</w:t>
      </w:r>
      <w:r w:rsidRPr="00761C34">
        <w:rPr>
          <w:rFonts w:ascii="Times New Roman" w:eastAsia="仿宋" w:hint="eastAsia"/>
          <w:sz w:val="32"/>
          <w:szCs w:val="32"/>
        </w:rPr>
        <w:t>指数型</w:t>
      </w:r>
      <w:r w:rsidR="0087530A" w:rsidRPr="00761C34">
        <w:rPr>
          <w:rFonts w:ascii="Times New Roman" w:eastAsia="仿宋"/>
          <w:sz w:val="32"/>
          <w:szCs w:val="32"/>
        </w:rPr>
        <w:t>发起式证券投资基金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永赢众利债券型证券投资基金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永赢同利债券型证券投资基金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lastRenderedPageBreak/>
        <w:t>永赢昌利债券型证券投资基金</w:t>
      </w:r>
    </w:p>
    <w:p w:rsidR="00EA1FD7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永赢惠泽一年定期开放灵活配置混合型发起式证券投资基金</w:t>
      </w:r>
    </w:p>
    <w:p w:rsidR="00EA1FD7" w:rsidRPr="00761C34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永赢开泰中高等级中短债债券型证券投资基金</w:t>
      </w:r>
    </w:p>
    <w:p w:rsidR="00EA1FD7" w:rsidRPr="00761C34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永赢久利债券型证券投资基金</w:t>
      </w:r>
    </w:p>
    <w:p w:rsidR="00EA1FD7" w:rsidRPr="00761C34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永赢淳利债券型证券投资基金</w:t>
      </w:r>
    </w:p>
    <w:p w:rsidR="00EA1FD7" w:rsidRPr="00761C34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永赢汇利六个月定期开放债券型证券投资基金</w:t>
      </w:r>
    </w:p>
    <w:p w:rsidR="00EA1FD7" w:rsidRPr="00761C34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永赢高端制造混合型证券投资基金</w:t>
      </w:r>
    </w:p>
    <w:p w:rsidR="002646D2" w:rsidRPr="00761C34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永赢创业板指数型发起式证券投资基金</w:t>
      </w:r>
    </w:p>
    <w:p w:rsidR="00761C34" w:rsidRPr="00761C34" w:rsidRDefault="002646D2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</w:t>
      </w:r>
      <w:r w:rsidRPr="00761C34">
        <w:rPr>
          <w:rFonts w:ascii="Times New Roman" w:eastAsia="仿宋"/>
          <w:sz w:val="32"/>
          <w:szCs w:val="32"/>
        </w:rPr>
        <w:t>乾元三年定期开放混合型证券投资</w:t>
      </w:r>
      <w:r w:rsidRPr="00761C34">
        <w:rPr>
          <w:rFonts w:ascii="Times New Roman" w:eastAsia="仿宋" w:hint="eastAsia"/>
          <w:sz w:val="32"/>
          <w:szCs w:val="32"/>
        </w:rPr>
        <w:t>基金</w:t>
      </w:r>
    </w:p>
    <w:p w:rsidR="00761C34" w:rsidRPr="00761C34" w:rsidRDefault="00761C34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永赢科技驱动混合型证券投资基金</w:t>
      </w:r>
    </w:p>
    <w:p w:rsidR="00761C34" w:rsidRPr="00761C34" w:rsidRDefault="00761C34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永赢元利债券型证券投资基金</w:t>
      </w:r>
    </w:p>
    <w:p w:rsidR="00761C34" w:rsidRPr="00761C34" w:rsidRDefault="00761C34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永赢易弘债券型证券投资基金</w:t>
      </w:r>
    </w:p>
    <w:p w:rsidR="00761C34" w:rsidRPr="00761C34" w:rsidRDefault="00761C34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永赢股息优选混合型证券投资基金</w:t>
      </w:r>
    </w:p>
    <w:p w:rsidR="00761C34" w:rsidRPr="00761C34" w:rsidRDefault="00761C34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永赢沪深</w:t>
      </w:r>
      <w:r w:rsidRPr="00761C34">
        <w:rPr>
          <w:rFonts w:ascii="Times New Roman" w:eastAsia="仿宋" w:hint="eastAsia"/>
          <w:sz w:val="32"/>
          <w:szCs w:val="32"/>
        </w:rPr>
        <w:t>300</w:t>
      </w:r>
      <w:r w:rsidRPr="00761C34">
        <w:rPr>
          <w:rFonts w:ascii="Times New Roman" w:eastAsia="仿宋" w:hint="eastAsia"/>
          <w:sz w:val="32"/>
          <w:szCs w:val="32"/>
        </w:rPr>
        <w:t>交易型开放式指数证券投资基金</w:t>
      </w:r>
    </w:p>
    <w:p w:rsidR="00761C34" w:rsidRDefault="00761C34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永赢中债</w:t>
      </w:r>
      <w:r w:rsidRPr="00761C34">
        <w:rPr>
          <w:rFonts w:ascii="Times New Roman" w:eastAsia="仿宋" w:hint="eastAsia"/>
          <w:sz w:val="32"/>
          <w:szCs w:val="32"/>
        </w:rPr>
        <w:t>-1-5</w:t>
      </w:r>
      <w:r w:rsidRPr="00761C34">
        <w:rPr>
          <w:rFonts w:ascii="Times New Roman" w:eastAsia="仿宋" w:hint="eastAsia"/>
          <w:sz w:val="32"/>
          <w:szCs w:val="32"/>
        </w:rPr>
        <w:t>年国开行债券指数证券投资基金</w:t>
      </w:r>
    </w:p>
    <w:p w:rsidR="002B311E" w:rsidRDefault="002B311E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B311E">
        <w:rPr>
          <w:rFonts w:ascii="Times New Roman" w:eastAsia="仿宋" w:hint="eastAsia"/>
          <w:sz w:val="32"/>
          <w:szCs w:val="32"/>
        </w:rPr>
        <w:t>永赢竞争力精选混合型发起式证券投资基金</w:t>
      </w:r>
    </w:p>
    <w:p w:rsidR="002B311E" w:rsidRDefault="002B311E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B311E">
        <w:rPr>
          <w:rFonts w:ascii="Times New Roman" w:eastAsia="仿宋" w:hint="eastAsia"/>
          <w:sz w:val="32"/>
          <w:szCs w:val="32"/>
        </w:rPr>
        <w:t>永赢医药健康股票型证券投资基金</w:t>
      </w:r>
    </w:p>
    <w:p w:rsidR="002B311E" w:rsidRDefault="002B311E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B311E">
        <w:rPr>
          <w:rFonts w:ascii="Times New Roman" w:eastAsia="仿宋" w:hint="eastAsia"/>
          <w:sz w:val="32"/>
          <w:szCs w:val="32"/>
        </w:rPr>
        <w:t>永赢邦利债券型证券投资基金</w:t>
      </w:r>
    </w:p>
    <w:p w:rsidR="002B311E" w:rsidRDefault="002B311E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B311E">
        <w:rPr>
          <w:rFonts w:ascii="Times New Roman" w:eastAsia="仿宋" w:hint="eastAsia"/>
          <w:sz w:val="32"/>
          <w:szCs w:val="32"/>
        </w:rPr>
        <w:t>永赢中证</w:t>
      </w:r>
      <w:r w:rsidRPr="002B311E">
        <w:rPr>
          <w:rFonts w:ascii="Times New Roman" w:eastAsia="仿宋" w:hint="eastAsia"/>
          <w:sz w:val="32"/>
          <w:szCs w:val="32"/>
        </w:rPr>
        <w:t>500</w:t>
      </w:r>
      <w:r w:rsidRPr="002B311E">
        <w:rPr>
          <w:rFonts w:ascii="Times New Roman" w:eastAsia="仿宋" w:hint="eastAsia"/>
          <w:sz w:val="32"/>
          <w:szCs w:val="32"/>
        </w:rPr>
        <w:t>交易型开放式指数证券投资基金</w:t>
      </w:r>
    </w:p>
    <w:p w:rsidR="006D3C11" w:rsidRDefault="002B311E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B311E">
        <w:rPr>
          <w:rFonts w:ascii="Times New Roman" w:eastAsia="仿宋" w:hint="eastAsia"/>
          <w:sz w:val="32"/>
          <w:szCs w:val="32"/>
        </w:rPr>
        <w:t>永赢瑞宁</w:t>
      </w:r>
      <w:r w:rsidRPr="002B311E">
        <w:rPr>
          <w:rFonts w:ascii="Times New Roman" w:eastAsia="仿宋" w:hint="eastAsia"/>
          <w:sz w:val="32"/>
          <w:szCs w:val="32"/>
        </w:rPr>
        <w:t>87</w:t>
      </w:r>
      <w:r w:rsidRPr="002B311E">
        <w:rPr>
          <w:rFonts w:ascii="Times New Roman" w:eastAsia="仿宋" w:hint="eastAsia"/>
          <w:sz w:val="32"/>
          <w:szCs w:val="32"/>
        </w:rPr>
        <w:t>个月定期开放债券型证券投资基金</w:t>
      </w:r>
    </w:p>
    <w:p w:rsidR="006D3C11" w:rsidRDefault="006D3C11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>
        <w:rPr>
          <w:rFonts w:ascii="Times New Roman" w:eastAsia="仿宋" w:hint="eastAsia"/>
          <w:sz w:val="32"/>
          <w:szCs w:val="32"/>
        </w:rPr>
        <w:t>永赢成长领航混合型证券投资基金</w:t>
      </w:r>
    </w:p>
    <w:p w:rsidR="006D3C11" w:rsidRDefault="006D3C11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>
        <w:rPr>
          <w:rFonts w:ascii="Times New Roman" w:eastAsia="仿宋" w:hint="eastAsia"/>
          <w:sz w:val="32"/>
          <w:szCs w:val="32"/>
        </w:rPr>
        <w:t>永赢鼎利债券型证券投资基金</w:t>
      </w:r>
    </w:p>
    <w:p w:rsidR="006D3C11" w:rsidRDefault="006D3C11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>
        <w:rPr>
          <w:rFonts w:ascii="Times New Roman" w:eastAsia="仿宋" w:hint="eastAsia"/>
          <w:sz w:val="32"/>
          <w:szCs w:val="32"/>
        </w:rPr>
        <w:t>永赢港股通品质生活慧选混合型证券投资基金</w:t>
      </w:r>
    </w:p>
    <w:p w:rsidR="006D3C11" w:rsidRDefault="006D3C11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6D3C11">
        <w:rPr>
          <w:rFonts w:ascii="Times New Roman" w:eastAsia="仿宋" w:hint="eastAsia"/>
          <w:sz w:val="32"/>
          <w:szCs w:val="32"/>
        </w:rPr>
        <w:lastRenderedPageBreak/>
        <w:t>永赢泰宁</w:t>
      </w:r>
      <w:r w:rsidRPr="006D3C11">
        <w:rPr>
          <w:rFonts w:ascii="Times New Roman" w:eastAsia="仿宋" w:hint="eastAsia"/>
          <w:sz w:val="32"/>
          <w:szCs w:val="32"/>
        </w:rPr>
        <w:t>63</w:t>
      </w:r>
      <w:r>
        <w:rPr>
          <w:rFonts w:ascii="Times New Roman" w:eastAsia="仿宋" w:hint="eastAsia"/>
          <w:sz w:val="32"/>
          <w:szCs w:val="32"/>
        </w:rPr>
        <w:t>个月定期开放债券型证券投资基金</w:t>
      </w:r>
    </w:p>
    <w:p w:rsidR="006D3C11" w:rsidRDefault="006D3C11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6D3C11">
        <w:rPr>
          <w:rFonts w:ascii="Times New Roman" w:eastAsia="仿宋" w:hint="eastAsia"/>
          <w:sz w:val="32"/>
          <w:szCs w:val="32"/>
        </w:rPr>
        <w:t>永</w:t>
      </w:r>
      <w:r>
        <w:rPr>
          <w:rFonts w:ascii="Times New Roman" w:eastAsia="仿宋" w:hint="eastAsia"/>
          <w:sz w:val="32"/>
          <w:szCs w:val="32"/>
        </w:rPr>
        <w:t>赢稳健增长一年持有期混合型证券投资基金</w:t>
      </w:r>
    </w:p>
    <w:p w:rsidR="006D3C11" w:rsidRDefault="006D3C11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>
        <w:rPr>
          <w:rFonts w:ascii="Times New Roman" w:eastAsia="仿宋" w:hint="eastAsia"/>
          <w:sz w:val="32"/>
          <w:szCs w:val="32"/>
        </w:rPr>
        <w:t>永赢欣益纯债一年定期开放债券型发起式证券投资基金</w:t>
      </w:r>
    </w:p>
    <w:p w:rsidR="006D3C11" w:rsidRDefault="006D3C11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>
        <w:rPr>
          <w:rFonts w:ascii="Times New Roman" w:eastAsia="仿宋" w:hint="eastAsia"/>
          <w:sz w:val="32"/>
          <w:szCs w:val="32"/>
        </w:rPr>
        <w:t>永赢鑫享混合型证券投资基金</w:t>
      </w:r>
    </w:p>
    <w:p w:rsidR="006B1691" w:rsidRPr="002646D2" w:rsidRDefault="006D3C11" w:rsidP="006D3C11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6D3C11">
        <w:rPr>
          <w:rFonts w:ascii="Times New Roman" w:eastAsia="仿宋" w:hint="eastAsia"/>
          <w:sz w:val="32"/>
          <w:szCs w:val="32"/>
        </w:rPr>
        <w:t>永赢泽利一年定期开放债券型证券投资基金</w:t>
      </w:r>
      <w:r w:rsidR="006B1691" w:rsidRPr="0087530A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2646D2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7530A">
        <w:rPr>
          <w:rFonts w:ascii="仿宋" w:eastAsia="仿宋" w:hAnsi="仿宋"/>
          <w:color w:val="000000" w:themeColor="text1"/>
          <w:sz w:val="32"/>
          <w:szCs w:val="32"/>
        </w:rPr>
        <w:t>第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6B169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6B169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7530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EA1FD7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B311E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646D2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B169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87530A" w:rsidRPr="00F73ACA">
        <w:rPr>
          <w:rStyle w:val="a5"/>
          <w:rFonts w:ascii="仿宋" w:eastAsia="仿宋" w:hAnsi="仿宋"/>
          <w:sz w:val="32"/>
          <w:szCs w:val="32"/>
        </w:rPr>
        <w:t>http://www.maxwealthfund.com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6B1691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 w:rsidR="006B1691" w:rsidRPr="0083285D">
          <w:rPr>
            <w:rStyle w:val="a5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6B1691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6B169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6B169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6B169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442D8" w:rsidRPr="00E442D8">
        <w:rPr>
          <w:rFonts w:ascii="仿宋" w:eastAsia="仿宋" w:hAnsi="仿宋"/>
          <w:color w:val="000000" w:themeColor="text1"/>
          <w:sz w:val="32"/>
          <w:szCs w:val="32"/>
        </w:rPr>
        <w:t>400-805-8888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6B169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6B1691" w:rsidRDefault="006B1691" w:rsidP="008753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6B1691" w:rsidRDefault="006B1691" w:rsidP="008753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7530A" w:rsidRDefault="0087530A" w:rsidP="008753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87530A" w:rsidRDefault="0087530A" w:rsidP="006B169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p w:rsidR="0087530A" w:rsidRDefault="0087530A" w:rsidP="006B169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87530A" w:rsidRPr="005A1AF7" w:rsidRDefault="0087530A" w:rsidP="006B169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6B1691" w:rsidRDefault="0087530A" w:rsidP="0087530A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永赢基金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6B169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6B1691" w:rsidRPr="00A7247E" w:rsidRDefault="006B1691" w:rsidP="0087530A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7530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106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D3C1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D3C1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6D3C11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621CB1" w:rsidRPr="006B1691" w:rsidRDefault="00621CB1"/>
    <w:sectPr w:rsidR="00621CB1" w:rsidRPr="006B1691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8A4" w:rsidRDefault="00BF58A4" w:rsidP="006B1691">
      <w:r>
        <w:separator/>
      </w:r>
    </w:p>
  </w:endnote>
  <w:endnote w:type="continuationSeparator" w:id="0">
    <w:p w:rsidR="00BF58A4" w:rsidRDefault="00BF58A4" w:rsidP="006B1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67517">
        <w:pPr>
          <w:pStyle w:val="a4"/>
          <w:jc w:val="center"/>
        </w:pPr>
        <w:r>
          <w:fldChar w:fldCharType="begin"/>
        </w:r>
        <w:r w:rsidR="00BF58A4">
          <w:instrText>PAGE   \* MERGEFORMAT</w:instrText>
        </w:r>
        <w:r>
          <w:fldChar w:fldCharType="separate"/>
        </w:r>
        <w:r w:rsidR="003E7571" w:rsidRPr="003E757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3E757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67517">
        <w:pPr>
          <w:pStyle w:val="a4"/>
          <w:jc w:val="center"/>
        </w:pPr>
        <w:r>
          <w:fldChar w:fldCharType="begin"/>
        </w:r>
        <w:r w:rsidR="00BF58A4">
          <w:instrText>PAGE   \* MERGEFORMAT</w:instrText>
        </w:r>
        <w:r>
          <w:fldChar w:fldCharType="separate"/>
        </w:r>
        <w:r w:rsidR="003E7571" w:rsidRPr="003E757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3E75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8A4" w:rsidRDefault="00BF58A4" w:rsidP="006B1691">
      <w:r>
        <w:separator/>
      </w:r>
    </w:p>
  </w:footnote>
  <w:footnote w:type="continuationSeparator" w:id="0">
    <w:p w:rsidR="00BF58A4" w:rsidRDefault="00BF58A4" w:rsidP="006B1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C1C"/>
    <w:rsid w:val="002646D2"/>
    <w:rsid w:val="002B311E"/>
    <w:rsid w:val="003C13A4"/>
    <w:rsid w:val="003E7571"/>
    <w:rsid w:val="00621CB1"/>
    <w:rsid w:val="006B1691"/>
    <w:rsid w:val="006D3C11"/>
    <w:rsid w:val="00761C34"/>
    <w:rsid w:val="007F64FC"/>
    <w:rsid w:val="00816C1C"/>
    <w:rsid w:val="0087530A"/>
    <w:rsid w:val="00880C0D"/>
    <w:rsid w:val="00BB1061"/>
    <w:rsid w:val="00BF58A4"/>
    <w:rsid w:val="00E442D8"/>
    <w:rsid w:val="00EA1FD7"/>
    <w:rsid w:val="00F67517"/>
    <w:rsid w:val="00F7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6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691"/>
    <w:rPr>
      <w:sz w:val="18"/>
      <w:szCs w:val="18"/>
    </w:rPr>
  </w:style>
  <w:style w:type="character" w:styleId="a5">
    <w:name w:val="Hyperlink"/>
    <w:basedOn w:val="a0"/>
    <w:uiPriority w:val="99"/>
    <w:unhideWhenUsed/>
    <w:rsid w:val="006B16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239</Words>
  <Characters>1368</Characters>
  <Application>Microsoft Office Word</Application>
  <DocSecurity>4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Yue，Ting Yan（岳婷艳）</dc:creator>
  <cp:keywords/>
  <dc:description/>
  <cp:lastModifiedBy>ZHONGM</cp:lastModifiedBy>
  <cp:revision>2</cp:revision>
  <dcterms:created xsi:type="dcterms:W3CDTF">2021-01-21T16:17:00Z</dcterms:created>
  <dcterms:modified xsi:type="dcterms:W3CDTF">2021-01-21T16:17:00Z</dcterms:modified>
</cp:coreProperties>
</file>