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F1E9E" w:rsidRDefault="009C5AE1" w:rsidP="0043655D">
      <w:pPr>
        <w:spacing w:line="540" w:lineRule="exact"/>
        <w:ind w:firstLineChars="50" w:firstLine="141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富国基金管理有限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公司旗下</w:t>
      </w:r>
      <w:r w:rsidR="005E088E" w:rsidRPr="008F1E9E">
        <w:rPr>
          <w:rFonts w:asciiTheme="minorEastAsia" w:hAnsiTheme="minorEastAsia"/>
          <w:b/>
          <w:color w:val="000000" w:themeColor="text1"/>
          <w:sz w:val="28"/>
          <w:szCs w:val="28"/>
        </w:rPr>
        <w:t>部分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基金</w:t>
      </w:r>
      <w:r w:rsidR="00BB3501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季度报告提示性公告</w:t>
      </w:r>
    </w:p>
    <w:p w:rsidR="008F1E9E" w:rsidRDefault="008F1E9E" w:rsidP="008A110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8F1E9E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Default="009C5AE1" w:rsidP="00087FC0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087FC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如下</w:t>
      </w:r>
      <w:r w:rsidR="00087FC0" w:rsidRPr="008F1E9E">
        <w:rPr>
          <w:rFonts w:asciiTheme="minorEastAsia" w:hAnsiTheme="minorEastAsia"/>
          <w:color w:val="000000" w:themeColor="text1"/>
          <w:sz w:val="24"/>
          <w:szCs w:val="24"/>
        </w:rPr>
        <w:t>基金</w:t>
      </w:r>
      <w:r w:rsidR="00654739">
        <w:rPr>
          <w:rFonts w:asciiTheme="minorEastAsia" w:hAnsiTheme="minorEastAsia"/>
          <w:color w:val="000000" w:themeColor="text1"/>
          <w:sz w:val="24"/>
          <w:szCs w:val="24"/>
        </w:rPr>
        <w:t>2020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年度第</w:t>
      </w:r>
      <w:r w:rsidR="00C870EF">
        <w:rPr>
          <w:rFonts w:asciiTheme="minorEastAsia" w:hAnsiTheme="minorEastAsia"/>
          <w:color w:val="000000" w:themeColor="text1"/>
          <w:sz w:val="24"/>
          <w:szCs w:val="24"/>
        </w:rPr>
        <w:t>四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9E5899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485A39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654739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9E5899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（www.fullgoal.com.cn）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F07E6" w:rsidRPr="008F1E9E">
        <w:rPr>
          <w:rFonts w:asciiTheme="minorEastAsia" w:hAnsiTheme="minorEastAsia" w:hint="eastAsia"/>
          <w:sz w:val="24"/>
          <w:szCs w:val="24"/>
        </w:rPr>
        <w:t>http://eid.csrc.gov.cn/fund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如有疑问可拨打本公司客服电话（4008880688（全国统一，均免长途话费）或95105686）咨询。</w:t>
      </w:r>
    </w:p>
    <w:p w:rsidR="008A110F" w:rsidRPr="008F1E9E" w:rsidRDefault="008A110F" w:rsidP="008A110F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66"/>
        <w:gridCol w:w="1249"/>
        <w:gridCol w:w="6281"/>
      </w:tblGrid>
      <w:tr w:rsidR="00AD7575" w:rsidRPr="008A110F" w:rsidTr="00F04147">
        <w:trPr>
          <w:trHeight w:val="340"/>
        </w:trPr>
        <w:tc>
          <w:tcPr>
            <w:tcW w:w="766" w:type="dxa"/>
            <w:vAlign w:val="center"/>
            <w:hideMark/>
          </w:tcPr>
          <w:p w:rsidR="008A110F" w:rsidRPr="008A110F" w:rsidRDefault="008A110F" w:rsidP="00EE5F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49" w:type="dxa"/>
            <w:vAlign w:val="center"/>
            <w:hideMark/>
          </w:tcPr>
          <w:p w:rsidR="008A110F" w:rsidRPr="008A110F" w:rsidRDefault="008A110F" w:rsidP="00EE5F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</w:t>
            </w: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代码</w:t>
            </w:r>
          </w:p>
        </w:tc>
        <w:tc>
          <w:tcPr>
            <w:tcW w:w="6281" w:type="dxa"/>
            <w:vAlign w:val="center"/>
            <w:hideMark/>
          </w:tcPr>
          <w:p w:rsidR="008A110F" w:rsidRPr="008A110F" w:rsidRDefault="008A110F" w:rsidP="008A110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富国天源沪港深平衡混合型证券投资基金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富国天利增长债券投资基金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富国天益价值混合型证券投资基金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富国天瑞强势地区精选混合型证券投资基金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161005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富国天惠精选成长混合型证券投资基金（LOF）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富国天时货币市场基金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富国天合稳健优选混合型证券投资基金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富国天博创新主题混合型证券投资基金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富国天成红利灵活配置混合型证券投资基金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富国天丰强化收益债券型证券投资基金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富国中证红利指数增强型证券投资基金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富国优化增强债券型证券投资基金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富国沪深300增强证券投资基金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富国通胀通缩主题轮动混合型证券投资基金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富国全球债券证券投资基金（QDII）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富国可转换债券证券投资基金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510210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上证综指交易型开放式指数证券投资基金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富国上证综指交易型开放式指数证券投资基金联接基金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富国天盈债券型证券投资基金（LOF）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富国全球科技互联网股票型证券投资基金（QDII）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富国低碳环保混合型证券投资基金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富国中证500指数增强型证券投资基金(LOF)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富国新天锋债券型证券投资基金（LOF）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富国高新技术产业混合型证券投资基金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富国中国中小盘（香港上市）混合型证券投资基金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27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富国强回报定期开放债券型证券投资基金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富国宏观策略灵活配置混合型证券投资基金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000107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富国稳健增强债券型证券投资基金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富国信用债债券型证券投资基金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富国目标收益一年期纯债债券型证券投资基金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000220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富国医疗保健行业混合型证券投资基金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富国汇利回报两年定期开放债券型证券投资基金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富国国有企业债债券型证券投资基金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富国城镇发展股票型证券投资基金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富国天盛灵活配置混合型证券投资基金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富国富钱包货币市场基金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000602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富国安益货币市场基金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富国高端制造行业股票型证券投资基金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000469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富国目标齐利一年期纯债债券型证券投资基金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富国中证移动互联网指数分级证券投资基金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富国新回报灵活配置混合型证券投资基金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519915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000880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富国研究精选灵活配置混合型证券投资基金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富国中证国有企业改革指数分级证券投资基金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000940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富国中小盘精选混合型证券投资基金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001048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富国新兴产业股票型证券投资基金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富国中证全指证券公司指数分级证券投资基金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富国中证新能源汽车指数分级证券投资基金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富国中证银行指数型证券投资基金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001186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富国文体健康股票型证券投资基金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001268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富国国家安全主题混合型证券投资基金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富国改革动力混合型证券投资基金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富国新收益灵活配置混合型证券投资基金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富国中证工业4.0指数分级证券投资基金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富国中证煤炭指数分级证券投资基金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富国沪港深价值精选灵活配置混合型证券投资基金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富国中证体育产业指数分级证券投资基金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001508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富国新动力灵活配置混合型证券投资基金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001641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富国绝对收益多策略定期开放混合型发起式证券投资基金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511900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富国收益宝交易型货币市场基金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66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001985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富国低碳新经济混合型证券投资基金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富国中证智能汽车指数证券投资基金（LOF）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001827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富国研究优选沪港深灵活配置混合型证券投资基金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002340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002483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富国泰利定期开放债券型发起式证券投资基金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002593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富国美丽中国混合型证券投资基金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002782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002692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富国创新科技混合型证券投资基金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002908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富国睿利定期开放混合型发起式证券投资基金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富国中证医药主题指数增强型证券投资基金（LOF）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002898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富国两年期理财债券型证券投资基金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003877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富国久利稳健配置混合型证券投资基金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富国中证娱乐主题指数增强型证券投资基金（LOF）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富国中证高端制造指数增强型证券投资基金（LOF）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004604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富国新活力灵活配置混合型发起式证券投资基金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004183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富国产业升级混合型证券投资基金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富国鼎利纯债三个月定期开放债券型发起式证券投资基金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富国新兴成长量化精选混合型证券投资基金（LOF）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富国泓利纯债债券型发起式证券投资基金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富国新优享灵活配置混合型证券投资基金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004978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富国聚利纯债三个月定期开放债券型发起式证券投资基金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富国祥利一年期定期开放债券型证券投资基金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004902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富国丰利增强债券型发起式证券投资基金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005121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富国兴利增强债券型发起式证券投资基金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富国景利纯债债券型发起式证券投资基金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004674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富国新机遇灵活配置混合型发起式证券投资基金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富国精准医疗灵活配置混合型证券投资基金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富国研究量化精选混合型证券投资基金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富国沪港深行业精选灵活配置混合型发起式证券投资基金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富国绿色纯债一年定期开放债券型证券投资基金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005549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富国成长优选三年定期开放灵活配置混合型证券投资基金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富国国企改革灵活配置混合型证券投资基金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富国宝利增强债券型发起式证券投资基金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FB3788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99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005517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富国新趋势灵活配置混合型证券投资基金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511310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富国中证10年期国债交易型开放式指数证券投资基金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005472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富国价值驱动灵活配置混合型证券投资基金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005609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富国军工主题混合型证券投资基金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005369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富国臻利纯债定期开放债券型发起式证券投资基金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富国转型机遇混合型证券投资基金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富国尊利纯债定期开放债券型发起式证券投资基金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005707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富国港股通量化精选股票型证券投资基金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富国中证1000指数增强型证券投资基金（LOF）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005760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富国周期优势混合型证券投资基金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富国大盘价值量化精选混合型证券投资基金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富国沪港深业绩驱动混合型证券投资基金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富国臻选成长灵活配置混合型证券投资基金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005920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富国颐利纯债债券型证券投资基金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006409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富国中债-1-3年国开行债券指数证券投资基金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512040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富国产业驱动混合型证券投资基金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富国鑫旺稳健养老目标一年持有期混合型基金中基金（FOF）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富国MSCI中国A股国际通指数增强型证券投资基金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006748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006652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富国金融地产行业混合型证券投资基金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006804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富国短债债券型证券投资基金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006527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富国优质发展混合型证券投资基金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006796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富国消费升级混合型证券投资基金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159963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富国恒生中国企业交易型开放式指数证券投资基金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富国德利纯债三个月定期开放债券型发起式证券投资基金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006218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富国生物医药科技混合型证券投资基金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006179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富国品质生活混合型证券投资基金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富国互联科技股票型证券投资基金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富国中债1-5年农发行债券指数证券投资基金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007345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富国科技创新灵活配置混合型证券投资基金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富国民裕进取沪港深成长精选混合型证券投资基金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007016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富国睿泽回报混合型证券投资基金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501077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富国科创主题3年封闭运作灵活配置混合型证券投资基金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512710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富国中证军工龙头交易型开放式指数证券投资基金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007455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富国蓝筹精选股票型证券投资基金（QDII）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007898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富国智诚精选3个月持有期混合型基金中基金（FOF）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007616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富国投资级信用债债券型证券投资基金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515650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富国中证消费50交易型开放式指数证券投资基金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515150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515750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富国中证科技50策略交易型开放式指数证券投资基金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007990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富国汇远纯债三年定期开放债券型证券投资基金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008372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富国阿尔法两年持有期混合型证券投资基金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007786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008521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富国汇优纯债63个月定期开放债券型证券投资基金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008138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富国龙头优势混合型证券投资基金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641423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1</w:t>
            </w:r>
            <w:r w:rsidR="00346E3D"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49" w:type="dxa"/>
            <w:hideMark/>
          </w:tcPr>
          <w:p w:rsidR="00EE5FF0" w:rsidRPr="00641423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515850</w:t>
            </w:r>
          </w:p>
        </w:tc>
        <w:tc>
          <w:tcPr>
            <w:tcW w:w="6281" w:type="dxa"/>
            <w:hideMark/>
          </w:tcPr>
          <w:p w:rsidR="00EE5FF0" w:rsidRPr="00641423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富国中证全指证券公司交易型开放式指数证券投资基金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008749</w:t>
            </w: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富国中证科技</w:t>
            </w:r>
            <w:r w:rsidRPr="00641423">
              <w:rPr>
                <w:rFonts w:ascii="宋体" w:hAnsi="宋体"/>
                <w:sz w:val="22"/>
              </w:rPr>
              <w:t>50策略交易型开放式指数证券投资基金联接基金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008835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富国量化对冲策略三个月持有期灵活配置混合型证券投资基金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005368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富国清洁能源产业灵活配置混合型证券投资基金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007949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富国泽利纯债债券型证券投资基金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515950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富国中证医药</w:t>
            </w:r>
            <w:r w:rsidRPr="00641423">
              <w:rPr>
                <w:rFonts w:ascii="宋体" w:hAnsi="宋体"/>
                <w:sz w:val="22"/>
              </w:rPr>
              <w:t>50交易型开放式指数证券投资基金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富国中证消费</w:t>
            </w:r>
            <w:r w:rsidRPr="00641423">
              <w:rPr>
                <w:rFonts w:ascii="宋体" w:hAnsi="宋体"/>
                <w:sz w:val="22"/>
              </w:rPr>
              <w:t>50交易型开放式指数证券投资基金联接基金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1E346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E346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007662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富国鑫旺均衡养老目标三年持有期混合型发起式基金中基金（</w:t>
            </w:r>
            <w:r w:rsidRPr="00641423">
              <w:rPr>
                <w:rFonts w:ascii="宋体" w:hAnsi="宋体"/>
                <w:sz w:val="22"/>
              </w:rPr>
              <w:t>FOF）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富国内需增长混合型证券投资基金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515280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富国中证银行交易型开放式指数证券投资基金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008367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富国亚洲收益债券型证券投资基金（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009162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富国医药成长</w:t>
            </w:r>
            <w:r w:rsidRPr="00641423">
              <w:rPr>
                <w:rFonts w:ascii="宋体" w:hAnsi="宋体"/>
                <w:sz w:val="22"/>
              </w:rPr>
              <w:t>30股票型证券投资基金</w:t>
            </w:r>
          </w:p>
        </w:tc>
      </w:tr>
      <w:tr w:rsidR="00F04147" w:rsidRPr="00EE5FF0" w:rsidTr="00E8568B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008350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富国中债</w:t>
            </w:r>
            <w:r w:rsidRPr="00641423">
              <w:rPr>
                <w:rFonts w:ascii="宋体" w:hAnsi="宋体"/>
                <w:sz w:val="22"/>
              </w:rPr>
              <w:t>1-5年国开行债券指数证券投资基金</w:t>
            </w:r>
          </w:p>
        </w:tc>
      </w:tr>
      <w:tr w:rsidR="00F04147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47" w:rsidRPr="00E8568B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E8568B">
              <w:rPr>
                <w:rFonts w:ascii="宋体" w:eastAsia="宋体" w:hAnsi="宋体"/>
                <w:sz w:val="22"/>
              </w:rPr>
              <w:t>009108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富国红利精选混合型证券投资基金（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/>
                <w:sz w:val="22"/>
              </w:rPr>
              <w:t>009289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富国长江经济带纯债债券型证券投资基金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515820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富国中证800交易型开放式指数证券投资基金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009334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富国融享18个月定期开放混合型证券投资基金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009290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富国添享一年持有期债券型证券投资基金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009693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富国积极成长一年定期开放混合型证券投资基金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009092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富国新材料新能源混合型证券投资基金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518680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富国上海金交易型开放式证券投资基金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161040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富国创业板两年定期开放混合型证券投资基金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009504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富国上海金交易型开放式证券投资基金联接基金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009863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富国创新趋势股票型证券投资基金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506003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富国科创板两年定期开放混合型证券投资基金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009892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富国成长策略混合型证券投资基金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009782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富国兴泉回报12个月持有期混合型证券投资基金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009642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富国荣利纯债一年定期开放债券型发起式证券投资基金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010029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富国稳进回报12个月持有期混合型证券投资基金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010109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富国价值增长混合型证券投资基金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009914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富国成长动力混合型证券投资基金</w:t>
            </w:r>
          </w:p>
        </w:tc>
      </w:tr>
    </w:tbl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D317E1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 </w:t>
      </w:r>
    </w:p>
    <w:p w:rsidR="00BB3501" w:rsidRPr="008F1E9E" w:rsidRDefault="008F1E9E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富国基金管理有限公司</w:t>
      </w:r>
    </w:p>
    <w:p w:rsidR="00BB3501" w:rsidRPr="008F1E9E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C77793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C77793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654739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C77793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日</w:t>
      </w:r>
      <w:bookmarkStart w:id="0" w:name="_GoBack"/>
      <w:bookmarkEnd w:id="0"/>
    </w:p>
    <w:sectPr w:rsidR="00BB3501" w:rsidRPr="008F1E9E" w:rsidSect="008A110F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F0" w:rsidRDefault="00F675F0" w:rsidP="009A149B">
      <w:r>
        <w:separator/>
      </w:r>
    </w:p>
  </w:endnote>
  <w:endnote w:type="continuationSeparator" w:id="0">
    <w:p w:rsidR="00F675F0" w:rsidRDefault="00F675F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D0F8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24DEC" w:rsidRPr="00C24DE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D0F8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24DEC" w:rsidRPr="00C24DE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F0" w:rsidRDefault="00F675F0" w:rsidP="009A149B">
      <w:r>
        <w:separator/>
      </w:r>
    </w:p>
  </w:footnote>
  <w:footnote w:type="continuationSeparator" w:id="0">
    <w:p w:rsidR="00F675F0" w:rsidRDefault="00F675F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87FC0"/>
    <w:rsid w:val="0009227A"/>
    <w:rsid w:val="00093E55"/>
    <w:rsid w:val="00094F20"/>
    <w:rsid w:val="000958C0"/>
    <w:rsid w:val="000A0272"/>
    <w:rsid w:val="000A0ECE"/>
    <w:rsid w:val="000A588E"/>
    <w:rsid w:val="000B53A5"/>
    <w:rsid w:val="000C06E1"/>
    <w:rsid w:val="000C1032"/>
    <w:rsid w:val="000D0F8C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4A88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346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46E3D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1FDF"/>
    <w:rsid w:val="00467E81"/>
    <w:rsid w:val="004744B6"/>
    <w:rsid w:val="004748B9"/>
    <w:rsid w:val="00477BA8"/>
    <w:rsid w:val="00477EB2"/>
    <w:rsid w:val="0048111A"/>
    <w:rsid w:val="00485A39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6B40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E2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423"/>
    <w:rsid w:val="00641CEA"/>
    <w:rsid w:val="0065080E"/>
    <w:rsid w:val="00654739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9C4"/>
    <w:rsid w:val="007F136D"/>
    <w:rsid w:val="007F60CB"/>
    <w:rsid w:val="00801AAB"/>
    <w:rsid w:val="00807381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38ED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10F"/>
    <w:rsid w:val="008A1AFA"/>
    <w:rsid w:val="008A2CE2"/>
    <w:rsid w:val="008A3460"/>
    <w:rsid w:val="008B539C"/>
    <w:rsid w:val="008B77D5"/>
    <w:rsid w:val="008C155D"/>
    <w:rsid w:val="008D4634"/>
    <w:rsid w:val="008D64DC"/>
    <w:rsid w:val="008E4CD7"/>
    <w:rsid w:val="008E58F7"/>
    <w:rsid w:val="008E6EC1"/>
    <w:rsid w:val="008F1E9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AE1"/>
    <w:rsid w:val="009E35EB"/>
    <w:rsid w:val="009E5899"/>
    <w:rsid w:val="009E64F2"/>
    <w:rsid w:val="009E7875"/>
    <w:rsid w:val="009F72D1"/>
    <w:rsid w:val="00A144A6"/>
    <w:rsid w:val="00A21627"/>
    <w:rsid w:val="00A37A94"/>
    <w:rsid w:val="00A37CF6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7575"/>
    <w:rsid w:val="00AD7E34"/>
    <w:rsid w:val="00AE3F47"/>
    <w:rsid w:val="00AE69BF"/>
    <w:rsid w:val="00AF7347"/>
    <w:rsid w:val="00B007DE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4FC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9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DEC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793"/>
    <w:rsid w:val="00C81CAD"/>
    <w:rsid w:val="00C84743"/>
    <w:rsid w:val="00C85EDC"/>
    <w:rsid w:val="00C86E10"/>
    <w:rsid w:val="00C870EF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3160"/>
    <w:rsid w:val="00CD42C4"/>
    <w:rsid w:val="00CE43F8"/>
    <w:rsid w:val="00CE7C8B"/>
    <w:rsid w:val="00CF01CC"/>
    <w:rsid w:val="00CF6D5C"/>
    <w:rsid w:val="00D05106"/>
    <w:rsid w:val="00D10B1F"/>
    <w:rsid w:val="00D11E1F"/>
    <w:rsid w:val="00D13130"/>
    <w:rsid w:val="00D20C81"/>
    <w:rsid w:val="00D317E1"/>
    <w:rsid w:val="00D3262F"/>
    <w:rsid w:val="00D34B21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3AEA"/>
    <w:rsid w:val="00DD7BAA"/>
    <w:rsid w:val="00DE0FFA"/>
    <w:rsid w:val="00DE6A70"/>
    <w:rsid w:val="00DF3DF3"/>
    <w:rsid w:val="00DF5AA8"/>
    <w:rsid w:val="00DF5DD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76B1"/>
    <w:rsid w:val="00E7407A"/>
    <w:rsid w:val="00E81A0A"/>
    <w:rsid w:val="00E8568B"/>
    <w:rsid w:val="00E964F7"/>
    <w:rsid w:val="00EA461A"/>
    <w:rsid w:val="00EA6F84"/>
    <w:rsid w:val="00EB7931"/>
    <w:rsid w:val="00ED548C"/>
    <w:rsid w:val="00ED7F3F"/>
    <w:rsid w:val="00EE5FF0"/>
    <w:rsid w:val="00EF043C"/>
    <w:rsid w:val="00EF49B3"/>
    <w:rsid w:val="00EF56E1"/>
    <w:rsid w:val="00EF73FD"/>
    <w:rsid w:val="00F00561"/>
    <w:rsid w:val="00F01150"/>
    <w:rsid w:val="00F01E3D"/>
    <w:rsid w:val="00F04147"/>
    <w:rsid w:val="00F04DC2"/>
    <w:rsid w:val="00F066D9"/>
    <w:rsid w:val="00F25F52"/>
    <w:rsid w:val="00F37FC9"/>
    <w:rsid w:val="00F469D5"/>
    <w:rsid w:val="00F47FEE"/>
    <w:rsid w:val="00F527B3"/>
    <w:rsid w:val="00F632AF"/>
    <w:rsid w:val="00F6382D"/>
    <w:rsid w:val="00F63F55"/>
    <w:rsid w:val="00F66378"/>
    <w:rsid w:val="00F675F0"/>
    <w:rsid w:val="00F71C51"/>
    <w:rsid w:val="00F77F4B"/>
    <w:rsid w:val="00F9100C"/>
    <w:rsid w:val="00FA0934"/>
    <w:rsid w:val="00FA653D"/>
    <w:rsid w:val="00FB23EE"/>
    <w:rsid w:val="00FB3788"/>
    <w:rsid w:val="00FC14DA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8A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5845-88BD-4D50-82B6-7DF4712D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5164</Characters>
  <Application>Microsoft Office Word</Application>
  <DocSecurity>4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2021-01-21T16:16:00Z</dcterms:created>
  <dcterms:modified xsi:type="dcterms:W3CDTF">2021-01-21T16:16:00Z</dcterms:modified>
</cp:coreProperties>
</file>