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3B7" w:rsidRPr="005B0769" w:rsidRDefault="000523B7" w:rsidP="005B0769">
      <w:pPr>
        <w:widowControl/>
        <w:jc w:val="center"/>
        <w:rPr>
          <w:rFonts w:ascii="黑体" w:eastAsia="黑体" w:hAnsi="黑体" w:cs="宋体"/>
          <w:b/>
          <w:bCs/>
          <w:color w:val="FF0000"/>
          <w:kern w:val="0"/>
          <w:sz w:val="32"/>
          <w:szCs w:val="32"/>
        </w:rPr>
      </w:pPr>
      <w:r w:rsidRPr="005B0769">
        <w:rPr>
          <w:rFonts w:ascii="黑体" w:eastAsia="黑体" w:hAnsi="黑体" w:cs="宋体" w:hint="eastAsia"/>
          <w:b/>
          <w:bCs/>
          <w:color w:val="FF0000"/>
          <w:kern w:val="0"/>
          <w:sz w:val="32"/>
          <w:szCs w:val="32"/>
        </w:rPr>
        <w:t>嘉实基金管理有限公司</w:t>
      </w:r>
    </w:p>
    <w:p w:rsidR="00C31117" w:rsidRPr="005B0769" w:rsidRDefault="00CD36E0" w:rsidP="005B0769">
      <w:pPr>
        <w:widowControl/>
        <w:jc w:val="center"/>
        <w:rPr>
          <w:rFonts w:ascii="黑体" w:eastAsia="黑体" w:hAnsi="黑体" w:cs="宋体"/>
          <w:b/>
          <w:bCs/>
          <w:color w:val="FF0000"/>
          <w:kern w:val="0"/>
          <w:sz w:val="32"/>
          <w:szCs w:val="32"/>
        </w:rPr>
      </w:pPr>
      <w:r w:rsidRPr="005B0769">
        <w:rPr>
          <w:rFonts w:ascii="黑体" w:eastAsia="黑体" w:hAnsi="黑体" w:cs="宋体"/>
          <w:b/>
          <w:bCs/>
          <w:color w:val="FF0000"/>
          <w:kern w:val="0"/>
          <w:sz w:val="32"/>
          <w:szCs w:val="32"/>
        </w:rPr>
        <w:t>关闭跨TA转换业务的公告</w:t>
      </w:r>
    </w:p>
    <w:p w:rsidR="005E7C6F" w:rsidRPr="005B0769" w:rsidRDefault="000523B7" w:rsidP="003528F7">
      <w:pPr>
        <w:spacing w:before="100" w:beforeAutospacing="1" w:after="100" w:afterAutospacing="1" w:line="360" w:lineRule="auto"/>
        <w:ind w:firstLineChars="200" w:firstLine="420"/>
        <w:rPr>
          <w:rFonts w:asciiTheme="minorEastAsia" w:hAnsiTheme="minorEastAsia" w:cs="Tahoma"/>
          <w:color w:val="000000"/>
          <w:kern w:val="0"/>
          <w:szCs w:val="21"/>
        </w:rPr>
      </w:pPr>
      <w:r w:rsidRPr="005B0769">
        <w:rPr>
          <w:rFonts w:asciiTheme="minorEastAsia" w:hAnsiTheme="minorEastAsia" w:cs="Tahoma" w:hint="eastAsia"/>
          <w:color w:val="000000"/>
          <w:kern w:val="0"/>
          <w:szCs w:val="21"/>
        </w:rPr>
        <w:t>根据证券投资基金合同、招募说明书等相关规定，嘉实基金管理有限公司（以下简称“本公司“）决定自202</w:t>
      </w:r>
      <w:r w:rsidR="00180836" w:rsidRPr="005B0769">
        <w:rPr>
          <w:rFonts w:asciiTheme="minorEastAsia" w:hAnsiTheme="minorEastAsia" w:cs="Tahoma"/>
          <w:color w:val="000000"/>
          <w:kern w:val="0"/>
          <w:szCs w:val="21"/>
        </w:rPr>
        <w:t>1</w:t>
      </w:r>
      <w:r w:rsidRPr="005B0769">
        <w:rPr>
          <w:rFonts w:asciiTheme="minorEastAsia" w:hAnsiTheme="minorEastAsia" w:cs="Tahoma" w:hint="eastAsia"/>
          <w:color w:val="000000"/>
          <w:kern w:val="0"/>
          <w:szCs w:val="21"/>
        </w:rPr>
        <w:t>年</w:t>
      </w:r>
      <w:r w:rsidR="00180836" w:rsidRPr="005B0769">
        <w:rPr>
          <w:rFonts w:asciiTheme="minorEastAsia" w:hAnsiTheme="minorEastAsia" w:cs="Tahoma"/>
          <w:color w:val="000000"/>
          <w:kern w:val="0"/>
          <w:szCs w:val="21"/>
        </w:rPr>
        <w:t>1</w:t>
      </w:r>
      <w:r w:rsidRPr="005B0769">
        <w:rPr>
          <w:rFonts w:asciiTheme="minorEastAsia" w:hAnsiTheme="minorEastAsia" w:cs="Tahoma" w:hint="eastAsia"/>
          <w:color w:val="000000"/>
          <w:kern w:val="0"/>
          <w:szCs w:val="21"/>
        </w:rPr>
        <w:t>月</w:t>
      </w:r>
      <w:r w:rsidR="00E21C8B">
        <w:rPr>
          <w:rFonts w:asciiTheme="minorEastAsia" w:hAnsiTheme="minorEastAsia" w:cs="Tahoma" w:hint="eastAsia"/>
          <w:color w:val="000000"/>
          <w:kern w:val="0"/>
          <w:szCs w:val="21"/>
        </w:rPr>
        <w:t>2</w:t>
      </w:r>
      <w:r w:rsidR="00305EBA">
        <w:rPr>
          <w:rFonts w:asciiTheme="minorEastAsia" w:hAnsiTheme="minorEastAsia" w:cs="Tahoma" w:hint="eastAsia"/>
          <w:color w:val="000000"/>
          <w:kern w:val="0"/>
          <w:szCs w:val="21"/>
        </w:rPr>
        <w:t>2</w:t>
      </w:r>
      <w:r w:rsidRPr="005B0769">
        <w:rPr>
          <w:rFonts w:asciiTheme="minorEastAsia" w:hAnsiTheme="minorEastAsia" w:cs="Tahoma" w:hint="eastAsia"/>
          <w:color w:val="000000"/>
          <w:kern w:val="0"/>
          <w:szCs w:val="21"/>
        </w:rPr>
        <w:t>日</w:t>
      </w:r>
      <w:r w:rsidR="00180836" w:rsidRPr="005B0769">
        <w:rPr>
          <w:rFonts w:asciiTheme="minorEastAsia" w:hAnsiTheme="minorEastAsia" w:cs="Tahoma" w:hint="eastAsia"/>
          <w:color w:val="000000"/>
          <w:kern w:val="0"/>
          <w:szCs w:val="21"/>
        </w:rPr>
        <w:t>起</w:t>
      </w:r>
      <w:r w:rsidRPr="005B0769">
        <w:rPr>
          <w:rFonts w:asciiTheme="minorEastAsia" w:hAnsiTheme="minorEastAsia" w:cs="Tahoma" w:hint="eastAsia"/>
          <w:color w:val="000000"/>
          <w:kern w:val="0"/>
          <w:szCs w:val="21"/>
        </w:rPr>
        <w:t>，关闭本公司</w:t>
      </w:r>
      <w:r w:rsidR="003528F7" w:rsidRPr="005B0769">
        <w:rPr>
          <w:rFonts w:asciiTheme="minorEastAsia" w:hAnsiTheme="minorEastAsia" w:cs="Tahoma" w:hint="eastAsia"/>
          <w:color w:val="000000"/>
          <w:kern w:val="0"/>
          <w:szCs w:val="21"/>
        </w:rPr>
        <w:t>管理的在中国证券登记结算有限</w:t>
      </w:r>
      <w:r w:rsidR="00374D69" w:rsidRPr="005B0769">
        <w:rPr>
          <w:rFonts w:asciiTheme="minorEastAsia" w:hAnsiTheme="minorEastAsia" w:cs="Tahoma" w:hint="eastAsia"/>
          <w:color w:val="000000"/>
          <w:kern w:val="0"/>
          <w:szCs w:val="21"/>
        </w:rPr>
        <w:t>责任</w:t>
      </w:r>
      <w:r w:rsidR="00427D16" w:rsidRPr="005B0769">
        <w:rPr>
          <w:rFonts w:asciiTheme="minorEastAsia" w:hAnsiTheme="minorEastAsia" w:cs="Tahoma" w:hint="eastAsia"/>
          <w:color w:val="000000"/>
          <w:kern w:val="0"/>
          <w:szCs w:val="21"/>
        </w:rPr>
        <w:t>公司与基金管理人进行注册登记的基金之间的</w:t>
      </w:r>
      <w:r w:rsidR="00AB3FCB" w:rsidRPr="005B0769">
        <w:rPr>
          <w:rFonts w:asciiTheme="minorEastAsia" w:hAnsiTheme="minorEastAsia" w:cs="Tahoma" w:hint="eastAsia"/>
          <w:color w:val="000000"/>
          <w:kern w:val="0"/>
          <w:szCs w:val="21"/>
        </w:rPr>
        <w:t>跨TA</w:t>
      </w:r>
      <w:r w:rsidR="00427D16" w:rsidRPr="005B0769">
        <w:rPr>
          <w:rFonts w:asciiTheme="minorEastAsia" w:hAnsiTheme="minorEastAsia" w:cs="Tahoma" w:hint="eastAsia"/>
          <w:color w:val="000000"/>
          <w:kern w:val="0"/>
          <w:szCs w:val="21"/>
        </w:rPr>
        <w:t>转换业务。</w:t>
      </w:r>
    </w:p>
    <w:p w:rsidR="00F17EDF" w:rsidRPr="005B0769" w:rsidRDefault="00F17EDF" w:rsidP="00207974">
      <w:pPr>
        <w:pStyle w:val="a4"/>
        <w:numPr>
          <w:ilvl w:val="0"/>
          <w:numId w:val="1"/>
        </w:numPr>
        <w:spacing w:before="100" w:beforeAutospacing="1" w:after="100" w:afterAutospacing="1"/>
        <w:ind w:firstLineChars="0"/>
        <w:rPr>
          <w:rFonts w:asciiTheme="minorEastAsia" w:hAnsiTheme="minorEastAsia" w:cs="Tahoma"/>
          <w:color w:val="000000"/>
          <w:kern w:val="0"/>
          <w:szCs w:val="21"/>
        </w:rPr>
      </w:pPr>
      <w:r w:rsidRPr="005B0769">
        <w:rPr>
          <w:rFonts w:asciiTheme="minorEastAsia" w:hAnsiTheme="minorEastAsia" w:cs="Tahoma" w:hint="eastAsia"/>
          <w:color w:val="000000"/>
          <w:kern w:val="0"/>
          <w:szCs w:val="21"/>
        </w:rPr>
        <w:t>业务</w:t>
      </w:r>
      <w:r w:rsidR="00207974" w:rsidRPr="005B0769">
        <w:rPr>
          <w:rFonts w:asciiTheme="minorEastAsia" w:hAnsiTheme="minorEastAsia" w:cs="Tahoma" w:hint="eastAsia"/>
          <w:color w:val="000000"/>
          <w:kern w:val="0"/>
          <w:szCs w:val="21"/>
        </w:rPr>
        <w:t>关闭</w:t>
      </w:r>
      <w:r w:rsidRPr="005B0769">
        <w:rPr>
          <w:rFonts w:asciiTheme="minorEastAsia" w:hAnsiTheme="minorEastAsia" w:cs="Tahoma" w:hint="eastAsia"/>
          <w:color w:val="000000"/>
          <w:kern w:val="0"/>
          <w:szCs w:val="21"/>
        </w:rPr>
        <w:t>时间</w:t>
      </w:r>
    </w:p>
    <w:p w:rsidR="00F17EDF" w:rsidRPr="005B0769" w:rsidRDefault="00F17EDF" w:rsidP="00207974">
      <w:pPr>
        <w:pStyle w:val="a4"/>
        <w:spacing w:before="100" w:beforeAutospacing="1" w:after="100" w:afterAutospacing="1"/>
        <w:ind w:left="840" w:firstLineChars="0" w:firstLine="0"/>
        <w:rPr>
          <w:rFonts w:asciiTheme="minorEastAsia" w:hAnsiTheme="minorEastAsia" w:cs="Tahoma"/>
          <w:color w:val="000000"/>
          <w:kern w:val="0"/>
          <w:szCs w:val="21"/>
        </w:rPr>
      </w:pPr>
      <w:r w:rsidRPr="005B0769">
        <w:rPr>
          <w:rFonts w:asciiTheme="minorEastAsia" w:hAnsiTheme="minorEastAsia" w:cs="Tahoma" w:hint="eastAsia"/>
          <w:color w:val="000000"/>
          <w:kern w:val="0"/>
          <w:szCs w:val="21"/>
        </w:rPr>
        <w:t>202</w:t>
      </w:r>
      <w:r w:rsidR="00180836" w:rsidRPr="005B0769">
        <w:rPr>
          <w:rFonts w:asciiTheme="minorEastAsia" w:hAnsiTheme="minorEastAsia" w:cs="Tahoma"/>
          <w:color w:val="000000"/>
          <w:kern w:val="0"/>
          <w:szCs w:val="21"/>
        </w:rPr>
        <w:t>1</w:t>
      </w:r>
      <w:r w:rsidRPr="005B0769">
        <w:rPr>
          <w:rFonts w:asciiTheme="minorEastAsia" w:hAnsiTheme="minorEastAsia" w:cs="Tahoma" w:hint="eastAsia"/>
          <w:color w:val="000000"/>
          <w:kern w:val="0"/>
          <w:szCs w:val="21"/>
        </w:rPr>
        <w:t>年</w:t>
      </w:r>
      <w:r w:rsidR="00180836" w:rsidRPr="005B0769">
        <w:rPr>
          <w:rFonts w:asciiTheme="minorEastAsia" w:hAnsiTheme="minorEastAsia" w:cs="Tahoma"/>
          <w:color w:val="000000"/>
          <w:kern w:val="0"/>
          <w:szCs w:val="21"/>
        </w:rPr>
        <w:t>1</w:t>
      </w:r>
      <w:r w:rsidRPr="005B0769">
        <w:rPr>
          <w:rFonts w:asciiTheme="minorEastAsia" w:hAnsiTheme="minorEastAsia" w:cs="Tahoma" w:hint="eastAsia"/>
          <w:color w:val="000000"/>
          <w:kern w:val="0"/>
          <w:szCs w:val="21"/>
        </w:rPr>
        <w:t>月</w:t>
      </w:r>
      <w:r w:rsidR="00E21C8B">
        <w:rPr>
          <w:rFonts w:asciiTheme="minorEastAsia" w:hAnsiTheme="minorEastAsia" w:cs="Tahoma" w:hint="eastAsia"/>
          <w:color w:val="000000"/>
          <w:kern w:val="0"/>
          <w:szCs w:val="21"/>
        </w:rPr>
        <w:t>2</w:t>
      </w:r>
      <w:r w:rsidR="00305EBA">
        <w:rPr>
          <w:rFonts w:asciiTheme="minorEastAsia" w:hAnsiTheme="minorEastAsia" w:cs="Tahoma" w:hint="eastAsia"/>
          <w:color w:val="000000"/>
          <w:kern w:val="0"/>
          <w:szCs w:val="21"/>
        </w:rPr>
        <w:t>2</w:t>
      </w:r>
      <w:r w:rsidRPr="005B0769">
        <w:rPr>
          <w:rFonts w:asciiTheme="minorEastAsia" w:hAnsiTheme="minorEastAsia" w:cs="Tahoma" w:hint="eastAsia"/>
          <w:color w:val="000000"/>
          <w:kern w:val="0"/>
          <w:szCs w:val="21"/>
        </w:rPr>
        <w:t>日</w:t>
      </w:r>
      <w:r w:rsidR="00207974" w:rsidRPr="005B0769">
        <w:rPr>
          <w:rFonts w:asciiTheme="minorEastAsia" w:hAnsiTheme="minorEastAsia" w:cs="Tahoma" w:hint="eastAsia"/>
          <w:color w:val="000000"/>
          <w:kern w:val="0"/>
          <w:szCs w:val="21"/>
        </w:rPr>
        <w:t>起</w:t>
      </w:r>
    </w:p>
    <w:p w:rsidR="00F17EDF" w:rsidRPr="005B0769" w:rsidRDefault="0034232F" w:rsidP="00207974">
      <w:pPr>
        <w:pStyle w:val="a4"/>
        <w:numPr>
          <w:ilvl w:val="0"/>
          <w:numId w:val="1"/>
        </w:numPr>
        <w:spacing w:before="100" w:beforeAutospacing="1" w:after="100" w:afterAutospacing="1"/>
        <w:ind w:firstLineChars="0"/>
        <w:rPr>
          <w:rFonts w:asciiTheme="minorEastAsia" w:hAnsiTheme="minorEastAsia" w:cs="Tahoma"/>
          <w:color w:val="000000"/>
          <w:kern w:val="0"/>
          <w:szCs w:val="21"/>
        </w:rPr>
      </w:pPr>
      <w:r w:rsidRPr="005B0769">
        <w:rPr>
          <w:rFonts w:asciiTheme="minorEastAsia" w:hAnsiTheme="minorEastAsia" w:cs="Tahoma" w:hint="eastAsia"/>
          <w:color w:val="000000"/>
          <w:kern w:val="0"/>
          <w:szCs w:val="21"/>
        </w:rPr>
        <w:t>涉及的</w:t>
      </w:r>
      <w:r w:rsidR="0060757A" w:rsidRPr="005B0769">
        <w:rPr>
          <w:rFonts w:asciiTheme="minorEastAsia" w:hAnsiTheme="minorEastAsia" w:cs="Tahoma" w:hint="eastAsia"/>
          <w:color w:val="000000"/>
          <w:kern w:val="0"/>
          <w:szCs w:val="21"/>
        </w:rPr>
        <w:t>基金</w:t>
      </w:r>
      <w:r w:rsidRPr="005B0769">
        <w:rPr>
          <w:rFonts w:asciiTheme="minorEastAsia" w:hAnsiTheme="minorEastAsia" w:cs="Tahoma" w:hint="eastAsia"/>
          <w:color w:val="000000"/>
          <w:kern w:val="0"/>
          <w:szCs w:val="21"/>
        </w:rPr>
        <w:t>列表</w:t>
      </w:r>
    </w:p>
    <w:tbl>
      <w:tblPr>
        <w:tblW w:w="9668" w:type="dxa"/>
        <w:tblInd w:w="-431" w:type="dxa"/>
        <w:tblLook w:val="04A0"/>
      </w:tblPr>
      <w:tblGrid>
        <w:gridCol w:w="1135"/>
        <w:gridCol w:w="5556"/>
        <w:gridCol w:w="2977"/>
      </w:tblGrid>
      <w:tr w:rsidR="00374D69" w:rsidRPr="005B0769" w:rsidTr="00E21C8B">
        <w:trPr>
          <w:trHeight w:val="270"/>
        </w:trPr>
        <w:tc>
          <w:tcPr>
            <w:tcW w:w="9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374D69" w:rsidRPr="005B0769" w:rsidRDefault="00374D69" w:rsidP="00374D69">
            <w:pPr>
              <w:widowControl/>
              <w:jc w:val="center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由管理人自行担任注册登记机构的基金</w:t>
            </w:r>
          </w:p>
        </w:tc>
      </w:tr>
      <w:tr w:rsidR="00374D69" w:rsidRPr="005B0769" w:rsidTr="00E21C8B">
        <w:trPr>
          <w:trHeight w:val="2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E21C8B">
            <w:pPr>
              <w:widowControl/>
              <w:jc w:val="center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基金代码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E21C8B">
            <w:pPr>
              <w:widowControl/>
              <w:jc w:val="center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基金全称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E21C8B">
            <w:pPr>
              <w:widowControl/>
              <w:jc w:val="center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基金简称</w:t>
            </w:r>
          </w:p>
        </w:tc>
      </w:tr>
      <w:tr w:rsidR="00374D69" w:rsidRPr="005B0769" w:rsidTr="00E21C8B">
        <w:trPr>
          <w:trHeight w:val="2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000008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嘉实中证500交易型开放式指数证券投资基金联接基金A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嘉实中证500ETF联接A</w:t>
            </w:r>
          </w:p>
        </w:tc>
      </w:tr>
      <w:tr w:rsidR="00374D69" w:rsidRPr="005B0769" w:rsidTr="00E21C8B">
        <w:trPr>
          <w:trHeight w:val="2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000082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嘉实研究阿尔法股票型证券投资基金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嘉实研究阿尔法股票</w:t>
            </w:r>
          </w:p>
        </w:tc>
      </w:tr>
      <w:tr w:rsidR="00374D69" w:rsidRPr="005B0769" w:rsidTr="00E21C8B">
        <w:trPr>
          <w:trHeight w:val="2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000113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嘉实如意宝定期开放债券型证券投资基金A/B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嘉实如意宝定期债券A/B</w:t>
            </w:r>
          </w:p>
        </w:tc>
      </w:tr>
      <w:tr w:rsidR="00374D69" w:rsidRPr="005B0769" w:rsidTr="00E21C8B">
        <w:trPr>
          <w:trHeight w:val="2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000115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嘉实如意宝定期开放债券型证券投资基金C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嘉实如意宝定期债券C</w:t>
            </w:r>
          </w:p>
        </w:tc>
      </w:tr>
      <w:tr w:rsidR="00374D69" w:rsidRPr="005B0769" w:rsidTr="00E21C8B">
        <w:trPr>
          <w:trHeight w:val="2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000116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嘉实丰益纯债定期开放债券型证券投资基金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嘉实丰益纯债定期债券</w:t>
            </w:r>
          </w:p>
        </w:tc>
      </w:tr>
      <w:tr w:rsidR="00374D69" w:rsidRPr="005B0769" w:rsidTr="00E21C8B">
        <w:trPr>
          <w:trHeight w:val="2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000176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嘉实沪深300指数研究增强型证券投资基金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嘉实沪深300指数研究增强</w:t>
            </w:r>
          </w:p>
        </w:tc>
      </w:tr>
      <w:tr w:rsidR="00374D69" w:rsidRPr="005B0769" w:rsidTr="00E21C8B">
        <w:trPr>
          <w:trHeight w:val="2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000585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嘉实对冲套利定期开放混合型发起式证券投资基金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嘉实对冲套利定期混合</w:t>
            </w:r>
          </w:p>
        </w:tc>
      </w:tr>
      <w:tr w:rsidR="00374D69" w:rsidRPr="005B0769" w:rsidTr="00E21C8B">
        <w:trPr>
          <w:trHeight w:val="2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000595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嘉实泰和混合型证券投资基金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嘉实泰和混合</w:t>
            </w:r>
          </w:p>
        </w:tc>
      </w:tr>
      <w:tr w:rsidR="00374D69" w:rsidRPr="005B0769" w:rsidTr="00E21C8B">
        <w:trPr>
          <w:trHeight w:val="2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000618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嘉实薪金宝货币市场基金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嘉实薪金宝货币</w:t>
            </w:r>
          </w:p>
        </w:tc>
      </w:tr>
      <w:tr w:rsidR="00374D69" w:rsidRPr="005B0769" w:rsidTr="00E21C8B">
        <w:trPr>
          <w:trHeight w:val="2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lastRenderedPageBreak/>
              <w:t>000711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嘉实医疗保健股票型证券投资基金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嘉实医疗保健股票</w:t>
            </w:r>
          </w:p>
        </w:tc>
      </w:tr>
      <w:tr w:rsidR="00374D69" w:rsidRPr="005B0769" w:rsidTr="00E21C8B">
        <w:trPr>
          <w:trHeight w:val="2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000751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嘉实新兴产业股票型证券投资基金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嘉实新兴产业股票</w:t>
            </w:r>
          </w:p>
        </w:tc>
      </w:tr>
      <w:tr w:rsidR="00374D69" w:rsidRPr="005B0769" w:rsidTr="00E21C8B">
        <w:trPr>
          <w:trHeight w:val="2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000870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嘉实新收益灵活配置混合型证券投资基金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嘉实新收益混合</w:t>
            </w:r>
          </w:p>
        </w:tc>
      </w:tr>
      <w:tr w:rsidR="00374D69" w:rsidRPr="005B0769" w:rsidTr="00E21C8B">
        <w:trPr>
          <w:trHeight w:val="2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000917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嘉实快线货币市场基金A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嘉实快线货币A</w:t>
            </w:r>
          </w:p>
        </w:tc>
      </w:tr>
      <w:tr w:rsidR="00374D69" w:rsidRPr="005B0769" w:rsidTr="00E21C8B">
        <w:trPr>
          <w:trHeight w:val="2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000985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嘉实逆向策略股票型证券投资基金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嘉实逆向策略股票</w:t>
            </w:r>
          </w:p>
        </w:tc>
      </w:tr>
      <w:tr w:rsidR="00374D69" w:rsidRPr="005B0769" w:rsidTr="00E21C8B">
        <w:trPr>
          <w:trHeight w:val="2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001036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嘉实企业变革股票型证券投资基金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嘉实企业变革股票</w:t>
            </w:r>
          </w:p>
        </w:tc>
      </w:tr>
      <w:tr w:rsidR="00374D69" w:rsidRPr="005B0769" w:rsidTr="00E21C8B">
        <w:trPr>
          <w:trHeight w:val="2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001039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嘉实先进制造股票型证券投资基金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嘉实先进制造股票</w:t>
            </w:r>
          </w:p>
        </w:tc>
      </w:tr>
      <w:tr w:rsidR="00374D69" w:rsidRPr="005B0769" w:rsidTr="00E21C8B">
        <w:trPr>
          <w:trHeight w:val="2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001044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嘉实新消费股票型证券投资基金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嘉实新消费股票</w:t>
            </w:r>
          </w:p>
        </w:tc>
      </w:tr>
      <w:tr w:rsidR="00374D69" w:rsidRPr="005B0769" w:rsidTr="00E21C8B">
        <w:trPr>
          <w:trHeight w:val="2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001416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嘉实事件驱动股票型证券投资基金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嘉实事件驱动股票</w:t>
            </w:r>
          </w:p>
        </w:tc>
      </w:tr>
      <w:tr w:rsidR="00374D69" w:rsidRPr="005B0769" w:rsidTr="00E21C8B">
        <w:trPr>
          <w:trHeight w:val="2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001539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嘉实中证金融地产交易型开放式指数证券投资基金联接基金A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嘉实中证金融地产ETF联接A</w:t>
            </w:r>
          </w:p>
        </w:tc>
      </w:tr>
      <w:tr w:rsidR="00374D69" w:rsidRPr="005B0769" w:rsidTr="00E21C8B">
        <w:trPr>
          <w:trHeight w:val="2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001577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嘉实低价策略股票型证券投资基金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嘉实低价策略股票</w:t>
            </w:r>
          </w:p>
        </w:tc>
      </w:tr>
      <w:tr w:rsidR="00374D69" w:rsidRPr="005B0769" w:rsidTr="00E21C8B">
        <w:trPr>
          <w:trHeight w:val="2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001616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嘉实环保低碳股票型证券投资基金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嘉实环保低碳股票</w:t>
            </w:r>
          </w:p>
        </w:tc>
      </w:tr>
      <w:tr w:rsidR="00374D69" w:rsidRPr="005B0769" w:rsidTr="00E21C8B">
        <w:trPr>
          <w:trHeight w:val="2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001637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嘉实腾讯自选股大数据策略股票型证券投资基金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嘉实腾讯自选股大数据策略股票</w:t>
            </w:r>
          </w:p>
        </w:tc>
      </w:tr>
      <w:tr w:rsidR="00374D69" w:rsidRPr="005B0769" w:rsidTr="00E21C8B">
        <w:trPr>
          <w:trHeight w:val="2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001758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嘉实研究增强灵活配置混合型证券投资基金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嘉实研究增强混合</w:t>
            </w:r>
          </w:p>
        </w:tc>
      </w:tr>
      <w:tr w:rsidR="00374D69" w:rsidRPr="005B0769" w:rsidTr="00E21C8B">
        <w:trPr>
          <w:trHeight w:val="2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001759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嘉实成长增强灵活配置混合型证券投资基金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嘉实成长增强混合</w:t>
            </w:r>
          </w:p>
        </w:tc>
      </w:tr>
      <w:tr w:rsidR="00374D69" w:rsidRPr="005B0769" w:rsidTr="00E21C8B">
        <w:trPr>
          <w:trHeight w:val="2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001760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嘉实创新成长灵活配置混合型证券投资基金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嘉实创新成长混合</w:t>
            </w:r>
          </w:p>
        </w:tc>
      </w:tr>
      <w:tr w:rsidR="00374D69" w:rsidRPr="005B0769" w:rsidTr="00E21C8B">
        <w:trPr>
          <w:trHeight w:val="2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001878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嘉实沪港深精选股票型证券投资基金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嘉实沪港深精选股票</w:t>
            </w:r>
          </w:p>
        </w:tc>
      </w:tr>
      <w:tr w:rsidR="00374D69" w:rsidRPr="005B0769" w:rsidTr="00E21C8B">
        <w:trPr>
          <w:trHeight w:val="2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002168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嘉实智能汽车股票型证券投资基金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嘉实智能汽车股票</w:t>
            </w:r>
          </w:p>
        </w:tc>
      </w:tr>
      <w:tr w:rsidR="00374D69" w:rsidRPr="005B0769" w:rsidTr="00E21C8B">
        <w:trPr>
          <w:trHeight w:val="2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002222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嘉实新趋势灵活配置混合型证券投资基金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嘉实新趋势混合</w:t>
            </w:r>
          </w:p>
        </w:tc>
      </w:tr>
      <w:tr w:rsidR="00374D69" w:rsidRPr="005B0769" w:rsidTr="00E21C8B">
        <w:trPr>
          <w:trHeight w:val="2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002549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嘉实稳祥纯债债券型证券投资基金A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嘉实稳祥纯债债券A</w:t>
            </w:r>
          </w:p>
        </w:tc>
      </w:tr>
      <w:tr w:rsidR="00374D69" w:rsidRPr="005B0769" w:rsidTr="00E21C8B">
        <w:trPr>
          <w:trHeight w:val="2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lastRenderedPageBreak/>
              <w:t>003053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嘉实文体娱乐股票型证券投资基金A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嘉实文体娱乐股票A</w:t>
            </w:r>
          </w:p>
        </w:tc>
      </w:tr>
      <w:tr w:rsidR="00374D69" w:rsidRPr="005B0769" w:rsidTr="00E21C8B">
        <w:trPr>
          <w:trHeight w:val="2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003054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嘉实文体娱乐股票型证券投资基金C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嘉实文体娱乐股票C</w:t>
            </w:r>
          </w:p>
        </w:tc>
      </w:tr>
      <w:tr w:rsidR="00374D69" w:rsidRPr="005B0769" w:rsidTr="00E21C8B">
        <w:trPr>
          <w:trHeight w:val="2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003292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嘉实优势成长灵活配置混合型证券投资基金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嘉实优势成长混合</w:t>
            </w:r>
          </w:p>
        </w:tc>
      </w:tr>
      <w:tr w:rsidR="00374D69" w:rsidRPr="005B0769" w:rsidTr="00E21C8B">
        <w:trPr>
          <w:trHeight w:val="2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003298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嘉实物流产业股票型证券投资基金A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嘉实物流产业股票A</w:t>
            </w:r>
          </w:p>
        </w:tc>
      </w:tr>
      <w:tr w:rsidR="00374D69" w:rsidRPr="005B0769" w:rsidTr="00E21C8B">
        <w:trPr>
          <w:trHeight w:val="2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003299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嘉实物流产业股票型证券投资基金C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嘉实物流产业股票C</w:t>
            </w:r>
          </w:p>
        </w:tc>
      </w:tr>
      <w:tr w:rsidR="00374D69" w:rsidRPr="005B0769" w:rsidTr="00E21C8B">
        <w:trPr>
          <w:trHeight w:val="2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003357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嘉实稳祥纯债债券型证券投资基金C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嘉实稳祥纯债债券C</w:t>
            </w:r>
          </w:p>
        </w:tc>
      </w:tr>
      <w:tr w:rsidR="00374D69" w:rsidRPr="005B0769" w:rsidTr="00E21C8B">
        <w:trPr>
          <w:trHeight w:val="2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003458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嘉实稳宏债券型证券投资基金A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嘉实稳宏债券A</w:t>
            </w:r>
          </w:p>
        </w:tc>
      </w:tr>
      <w:tr w:rsidR="00374D69" w:rsidRPr="005B0769" w:rsidTr="00E21C8B">
        <w:trPr>
          <w:trHeight w:val="2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003459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嘉实稳宏债券型证券投资基金C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嘉实稳宏债券C</w:t>
            </w:r>
          </w:p>
        </w:tc>
      </w:tr>
      <w:tr w:rsidR="00374D69" w:rsidRPr="005B0769" w:rsidTr="00E21C8B">
        <w:trPr>
          <w:trHeight w:val="2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003634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嘉实农业产业股票型证券投资基金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嘉实农业产业股票</w:t>
            </w:r>
          </w:p>
        </w:tc>
      </w:tr>
      <w:tr w:rsidR="00374D69" w:rsidRPr="005B0769" w:rsidTr="00E21C8B">
        <w:trPr>
          <w:trHeight w:val="2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003984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嘉实新能源新材料股票型证券投资基金A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嘉实新能源新材料股票A</w:t>
            </w:r>
          </w:p>
        </w:tc>
      </w:tr>
      <w:tr w:rsidR="00374D69" w:rsidRPr="005B0769" w:rsidTr="00E21C8B">
        <w:trPr>
          <w:trHeight w:val="2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003985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嘉实新能源新材料股票型证券投资基金C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嘉实新能源新材料股票C</w:t>
            </w:r>
          </w:p>
        </w:tc>
      </w:tr>
      <w:tr w:rsidR="00374D69" w:rsidRPr="005B0769" w:rsidTr="00E21C8B">
        <w:trPr>
          <w:trHeight w:val="2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004173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嘉实增益宝货币市场基金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嘉实增益宝货币</w:t>
            </w:r>
          </w:p>
        </w:tc>
      </w:tr>
      <w:tr w:rsidR="00374D69" w:rsidRPr="005B0769" w:rsidTr="00E21C8B">
        <w:trPr>
          <w:trHeight w:val="2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004353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嘉实新添华定期开放混合型证券投资基金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嘉实新添华定期混合</w:t>
            </w:r>
          </w:p>
        </w:tc>
      </w:tr>
      <w:tr w:rsidR="00374D69" w:rsidRPr="005B0769" w:rsidTr="00E21C8B">
        <w:trPr>
          <w:trHeight w:val="2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004355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嘉实丰和灵活配置混合型证券投资基金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嘉实丰和灵活配置混合</w:t>
            </w:r>
          </w:p>
        </w:tc>
      </w:tr>
      <w:tr w:rsidR="00374D69" w:rsidRPr="005B0769" w:rsidTr="00E21C8B">
        <w:trPr>
          <w:trHeight w:val="2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004450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嘉实前沿科技沪港深股票型证券投资基金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嘉实前沿科技沪港深股票</w:t>
            </w:r>
          </w:p>
        </w:tc>
      </w:tr>
      <w:tr w:rsidR="00374D69" w:rsidRPr="005B0769" w:rsidTr="00E21C8B">
        <w:trPr>
          <w:trHeight w:val="2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004477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嘉实沪港深回报混合型证券投资基金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嘉实沪港深回报混合</w:t>
            </w:r>
          </w:p>
        </w:tc>
      </w:tr>
      <w:tr w:rsidR="00374D69" w:rsidRPr="005B0769" w:rsidTr="00E21C8B">
        <w:trPr>
          <w:trHeight w:val="2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004488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嘉实富时中国A50交易型开放式指数证券投资基金联接基金A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嘉实富时中国A50ETF联接A</w:t>
            </w:r>
          </w:p>
        </w:tc>
      </w:tr>
      <w:tr w:rsidR="00374D69" w:rsidRPr="005B0769" w:rsidTr="00E21C8B">
        <w:trPr>
          <w:trHeight w:val="2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004536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嘉实中小企业量化活力灵活配置混合型证券投资基金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嘉实中小企业量化活力灵活配置混合</w:t>
            </w:r>
          </w:p>
        </w:tc>
      </w:tr>
      <w:tr w:rsidR="00374D69" w:rsidRPr="005B0769" w:rsidTr="00E21C8B">
        <w:trPr>
          <w:trHeight w:val="2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004544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嘉实稳华纯债债券型证券投资基金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嘉实稳华纯债债券</w:t>
            </w:r>
          </w:p>
        </w:tc>
      </w:tr>
      <w:tr w:rsidR="00374D69" w:rsidRPr="005B0769" w:rsidTr="00E21C8B">
        <w:trPr>
          <w:trHeight w:val="2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004775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嘉实新添泽定期开放混合型证券投资基金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嘉实新添泽定期混合</w:t>
            </w:r>
          </w:p>
        </w:tc>
      </w:tr>
      <w:tr w:rsidR="00374D69" w:rsidRPr="005B0769" w:rsidTr="00E21C8B">
        <w:trPr>
          <w:trHeight w:val="2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004916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嘉实新添丰定期开放混合型证券投资基金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嘉实新添丰定期混合</w:t>
            </w:r>
          </w:p>
        </w:tc>
      </w:tr>
      <w:tr w:rsidR="00374D69" w:rsidRPr="005B0769" w:rsidTr="00E21C8B">
        <w:trPr>
          <w:trHeight w:val="2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005229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嘉实富时中国A50交易型开放式指数证券投资基金联接基金C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嘉实富时中国A50ETF联接C</w:t>
            </w:r>
          </w:p>
        </w:tc>
      </w:tr>
      <w:tr w:rsidR="00374D69" w:rsidRPr="005B0769" w:rsidTr="00E21C8B">
        <w:trPr>
          <w:trHeight w:val="2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005267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嘉实价值精选股票型证券投资基金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嘉实价值精选股票</w:t>
            </w:r>
          </w:p>
        </w:tc>
      </w:tr>
      <w:tr w:rsidR="00374D69" w:rsidRPr="005B0769" w:rsidTr="00E21C8B">
        <w:trPr>
          <w:trHeight w:val="38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005303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嘉实医药健康股票型证券投资基金A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嘉实医药健康股票A</w:t>
            </w:r>
          </w:p>
        </w:tc>
      </w:tr>
      <w:tr w:rsidR="00374D69" w:rsidRPr="005B0769" w:rsidTr="00E21C8B">
        <w:trPr>
          <w:trHeight w:val="2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005304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嘉实医药健康股票型证券投资基金C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嘉实医药健康股票C</w:t>
            </w:r>
          </w:p>
        </w:tc>
      </w:tr>
      <w:tr w:rsidR="00374D69" w:rsidRPr="005B0769" w:rsidTr="00E21C8B">
        <w:trPr>
          <w:trHeight w:val="2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005612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嘉实核心优势股票型发起式证券投资基金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嘉实核心优势股票</w:t>
            </w:r>
          </w:p>
        </w:tc>
      </w:tr>
      <w:tr w:rsidR="00374D69" w:rsidRPr="005B0769" w:rsidTr="00E21C8B">
        <w:trPr>
          <w:trHeight w:val="2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005660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嘉实资源精选股票型发起式证券投资基金A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嘉实资源精选股票A</w:t>
            </w:r>
          </w:p>
        </w:tc>
      </w:tr>
      <w:tr w:rsidR="00374D69" w:rsidRPr="005B0769" w:rsidTr="00E21C8B">
        <w:trPr>
          <w:trHeight w:val="2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005661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嘉实资源精选股票型发起式证券投资基金C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嘉实资源精选股票C</w:t>
            </w:r>
          </w:p>
        </w:tc>
      </w:tr>
      <w:tr w:rsidR="00374D69" w:rsidRPr="005B0769" w:rsidTr="00E21C8B">
        <w:trPr>
          <w:trHeight w:val="2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005662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嘉实金融精选股票型发起式证券投资基金A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嘉实金融精选股票A</w:t>
            </w:r>
          </w:p>
        </w:tc>
      </w:tr>
      <w:tr w:rsidR="00374D69" w:rsidRPr="005B0769" w:rsidTr="00E21C8B">
        <w:trPr>
          <w:trHeight w:val="2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005663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嘉实金融精选股票型发起式证券投资基金C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嘉实金融精选股票C</w:t>
            </w:r>
          </w:p>
        </w:tc>
      </w:tr>
      <w:tr w:rsidR="00374D69" w:rsidRPr="005B0769" w:rsidTr="00E21C8B">
        <w:trPr>
          <w:trHeight w:val="2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005727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嘉实中创400交易型开放式指数证券投资基金联接基金C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嘉实中创400ETF联接C</w:t>
            </w:r>
          </w:p>
        </w:tc>
      </w:tr>
      <w:tr w:rsidR="00374D69" w:rsidRPr="005B0769" w:rsidTr="00E21C8B">
        <w:trPr>
          <w:trHeight w:val="2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005998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嘉实深证基本面120交易型开放式指数证券投资基金联接基金C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嘉实深证基本面120ETF联接C</w:t>
            </w:r>
          </w:p>
        </w:tc>
      </w:tr>
      <w:tr w:rsidR="00374D69" w:rsidRPr="005B0769" w:rsidTr="00E21C8B">
        <w:trPr>
          <w:trHeight w:val="2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005999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嘉实中证金融地产交易型开放式指数证券投资基金联接基金C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嘉实中证金融地产ETF联接C</w:t>
            </w:r>
          </w:p>
        </w:tc>
      </w:tr>
      <w:tr w:rsidR="00374D69" w:rsidRPr="005B0769" w:rsidTr="00E21C8B">
        <w:trPr>
          <w:trHeight w:val="2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006450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嘉实致盈债券型证券投资基金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嘉实致盈债券</w:t>
            </w:r>
          </w:p>
        </w:tc>
      </w:tr>
      <w:tr w:rsidR="00374D69" w:rsidRPr="005B0769" w:rsidTr="00E21C8B">
        <w:trPr>
          <w:trHeight w:val="2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006603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嘉实互融精选股票型证券投资基金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嘉实互融精选股票</w:t>
            </w:r>
          </w:p>
        </w:tc>
      </w:tr>
      <w:tr w:rsidR="00374D69" w:rsidRPr="005B0769" w:rsidTr="00E21C8B">
        <w:trPr>
          <w:trHeight w:val="2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006604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嘉实消费精选股票型证券投资基金A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嘉实消费精选股票A</w:t>
            </w:r>
          </w:p>
        </w:tc>
      </w:tr>
      <w:tr w:rsidR="00374D69" w:rsidRPr="005B0769" w:rsidTr="00E21C8B">
        <w:trPr>
          <w:trHeight w:val="2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006605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嘉实消费精选股票型证券投资基金C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嘉实消费精选股票C</w:t>
            </w:r>
          </w:p>
        </w:tc>
      </w:tr>
      <w:tr w:rsidR="00374D69" w:rsidRPr="005B0769" w:rsidTr="00E21C8B">
        <w:trPr>
          <w:trHeight w:val="2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006797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嘉实中短债债券型证券投资基金A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嘉实中短债债券A</w:t>
            </w:r>
          </w:p>
        </w:tc>
      </w:tr>
      <w:tr w:rsidR="00374D69" w:rsidRPr="005B0769" w:rsidTr="00E21C8B">
        <w:trPr>
          <w:trHeight w:val="2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006798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嘉实中短债债券型证券投资基金C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嘉实中短债债券C</w:t>
            </w:r>
          </w:p>
        </w:tc>
      </w:tr>
      <w:tr w:rsidR="00374D69" w:rsidRPr="005B0769" w:rsidTr="00E21C8B">
        <w:trPr>
          <w:trHeight w:val="2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006803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嘉实互通精选股票型证券投资基金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嘉实互通精选股票</w:t>
            </w:r>
          </w:p>
        </w:tc>
      </w:tr>
      <w:tr w:rsidR="00374D69" w:rsidRPr="005B0769" w:rsidTr="00E21C8B">
        <w:trPr>
          <w:trHeight w:val="2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006841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嘉实致享纯债债券型证券投资基金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嘉实致享纯债债券</w:t>
            </w:r>
          </w:p>
        </w:tc>
      </w:tr>
      <w:tr w:rsidR="00374D69" w:rsidRPr="005B0769" w:rsidTr="00E21C8B">
        <w:trPr>
          <w:trHeight w:val="2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007021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嘉实中债1-3年政策性金融债指数证券投资基金A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嘉实中债1-3政金债指数A</w:t>
            </w:r>
          </w:p>
        </w:tc>
      </w:tr>
      <w:tr w:rsidR="00374D69" w:rsidRPr="005B0769" w:rsidTr="00E21C8B">
        <w:trPr>
          <w:trHeight w:val="2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007022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嘉实中债1-3年政策性金融债指数证券投资基金C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嘉实中债1-3政金债指数C</w:t>
            </w:r>
          </w:p>
        </w:tc>
      </w:tr>
      <w:tr w:rsidR="00374D69" w:rsidRPr="005B0769" w:rsidTr="00E21C8B">
        <w:trPr>
          <w:trHeight w:val="2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007133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嘉实长青竞争优势股票型证券投资基金A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嘉实长青竞争优势股票A</w:t>
            </w:r>
          </w:p>
        </w:tc>
      </w:tr>
      <w:tr w:rsidR="00374D69" w:rsidRPr="005B0769" w:rsidTr="00E21C8B">
        <w:trPr>
          <w:trHeight w:val="2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007134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嘉实长青竞争优势股票型证券投资基金C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嘉实长青竞争优势股票C</w:t>
            </w:r>
          </w:p>
        </w:tc>
      </w:tr>
      <w:tr w:rsidR="00374D69" w:rsidRPr="005B0769" w:rsidTr="00E21C8B">
        <w:trPr>
          <w:trHeight w:val="2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007319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嘉实汇达中短债债券型证券投资基金A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嘉实汇达中短债债券A</w:t>
            </w:r>
          </w:p>
        </w:tc>
      </w:tr>
      <w:tr w:rsidR="00374D69" w:rsidRPr="005B0769" w:rsidTr="00E21C8B">
        <w:trPr>
          <w:trHeight w:val="2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007320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嘉实汇达中短债债券型证券投资基金C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嘉实汇达中短债债券C</w:t>
            </w:r>
          </w:p>
        </w:tc>
      </w:tr>
      <w:tr w:rsidR="00374D69" w:rsidRPr="005B0769" w:rsidTr="00E21C8B">
        <w:trPr>
          <w:trHeight w:val="2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007605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嘉实沪深300红利低波动交易型开放式指数证券投资基金联接基金A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嘉实沪深300红利低波动ETF联接A</w:t>
            </w:r>
          </w:p>
        </w:tc>
      </w:tr>
      <w:tr w:rsidR="00374D69" w:rsidRPr="005B0769" w:rsidTr="00E21C8B">
        <w:trPr>
          <w:trHeight w:val="2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007606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嘉实沪深300红利低波动交易型开放式指数证券投资基金联接基金C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嘉实沪深300红利低波动ETF联接C</w:t>
            </w:r>
          </w:p>
        </w:tc>
      </w:tr>
      <w:tr w:rsidR="00374D69" w:rsidRPr="005B0769" w:rsidTr="00E21C8B">
        <w:trPr>
          <w:trHeight w:val="2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007792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嘉实中证央企创新驱动交易型开放式指数证券投资基金联接基金A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嘉实央企创新驱动ETF联接A</w:t>
            </w:r>
          </w:p>
        </w:tc>
      </w:tr>
      <w:tr w:rsidR="00374D69" w:rsidRPr="005B0769" w:rsidTr="00E21C8B">
        <w:trPr>
          <w:trHeight w:val="2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007793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嘉实中证央企创新驱动交易型开放式指数证券投资基金联接基金C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嘉实央企创新驱动ETF联接C</w:t>
            </w:r>
          </w:p>
        </w:tc>
      </w:tr>
      <w:tr w:rsidR="00374D69" w:rsidRPr="005B0769" w:rsidTr="00E21C8B">
        <w:trPr>
          <w:trHeight w:val="2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007815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嘉实中证新兴科技100策略交易型开放式指数证券投资基金联接基金A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嘉实新兴科技100ETF联接A</w:t>
            </w:r>
          </w:p>
        </w:tc>
      </w:tr>
      <w:tr w:rsidR="00374D69" w:rsidRPr="005B0769" w:rsidTr="00E21C8B">
        <w:trPr>
          <w:trHeight w:val="2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007816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嘉实中证新兴科技100策略交易型开放式指数证券投资基金联接基金C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嘉实新兴科技100ETF联接C</w:t>
            </w:r>
          </w:p>
        </w:tc>
      </w:tr>
      <w:tr w:rsidR="00374D69" w:rsidRPr="005B0769" w:rsidTr="00E21C8B">
        <w:trPr>
          <w:trHeight w:val="2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007895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嘉实价值成长混合型证券投资基金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嘉实价值成长混合</w:t>
            </w:r>
          </w:p>
        </w:tc>
      </w:tr>
      <w:tr w:rsidR="00374D69" w:rsidRPr="005B0769" w:rsidTr="00E21C8B">
        <w:trPr>
          <w:trHeight w:val="2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008015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嘉实中债3-5年国开行债券指数证券投资基金A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嘉实中债3-5年国开债指数A</w:t>
            </w:r>
          </w:p>
        </w:tc>
      </w:tr>
      <w:tr w:rsidR="00374D69" w:rsidRPr="005B0769" w:rsidTr="00E21C8B">
        <w:trPr>
          <w:trHeight w:val="2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008016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嘉实中债3-5年国开行债券指数证券投资基金C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嘉实中债3-5年国开债指数C</w:t>
            </w:r>
          </w:p>
        </w:tc>
      </w:tr>
      <w:tr w:rsidR="00374D69" w:rsidRPr="005B0769" w:rsidTr="00E21C8B">
        <w:trPr>
          <w:trHeight w:val="2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008778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嘉实中证500指数增强型证券投资基金A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嘉实中证500指数增强A</w:t>
            </w:r>
          </w:p>
        </w:tc>
      </w:tr>
      <w:tr w:rsidR="00374D69" w:rsidRPr="005B0769" w:rsidTr="00E21C8B">
        <w:trPr>
          <w:trHeight w:val="2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008779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嘉实中证500指数增强型证券投资基金C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嘉实中证500指数增强C</w:t>
            </w:r>
          </w:p>
        </w:tc>
      </w:tr>
      <w:tr w:rsidR="00374D69" w:rsidRPr="005B0769" w:rsidTr="00E21C8B">
        <w:trPr>
          <w:trHeight w:val="2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008958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嘉实回报精选股票型证券投资基金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嘉实回报精选股票</w:t>
            </w:r>
          </w:p>
        </w:tc>
      </w:tr>
      <w:tr w:rsidR="00374D69" w:rsidRPr="005B0769" w:rsidTr="00E21C8B">
        <w:trPr>
          <w:trHeight w:val="2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009089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嘉实稳固收益债券型证券投资基金A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嘉实稳固收益债券A</w:t>
            </w:r>
          </w:p>
        </w:tc>
      </w:tr>
      <w:tr w:rsidR="00374D69" w:rsidRPr="005B0769" w:rsidTr="00E21C8B">
        <w:trPr>
          <w:trHeight w:val="2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009126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嘉实基础产业优选股票型证券投资基金A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嘉实基础产业优选股票A</w:t>
            </w:r>
          </w:p>
        </w:tc>
      </w:tr>
      <w:tr w:rsidR="00374D69" w:rsidRPr="005B0769" w:rsidTr="00E21C8B">
        <w:trPr>
          <w:trHeight w:val="2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009127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嘉实基础产业优选股票型证券投资基金C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嘉实基础产业优选股票C</w:t>
            </w:r>
          </w:p>
        </w:tc>
      </w:tr>
      <w:tr w:rsidR="00374D69" w:rsidRPr="005B0769" w:rsidTr="00E21C8B">
        <w:trPr>
          <w:trHeight w:val="2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009179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嘉实中证主要消费交易型开放式指数证券投资基金发起式联接基金A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嘉实中证主要消费ETF联接A</w:t>
            </w:r>
          </w:p>
        </w:tc>
      </w:tr>
      <w:tr w:rsidR="00374D69" w:rsidRPr="005B0769" w:rsidTr="00E21C8B">
        <w:trPr>
          <w:trHeight w:val="2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009180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嘉实中证主要消费交易型开放式指数证券投资基金发起式联接基金C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嘉实中证主要消费ETF联接C</w:t>
            </w:r>
          </w:p>
        </w:tc>
      </w:tr>
      <w:tr w:rsidR="00374D69" w:rsidRPr="005B0769" w:rsidTr="00E21C8B">
        <w:trPr>
          <w:trHeight w:val="2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070001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嘉实成长收益证券投资基金A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嘉实成长收益混合A</w:t>
            </w:r>
          </w:p>
        </w:tc>
      </w:tr>
      <w:tr w:rsidR="00374D69" w:rsidRPr="005B0769" w:rsidTr="00E21C8B">
        <w:trPr>
          <w:trHeight w:val="2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070002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嘉实增长开放式证券投资基金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嘉实增长混合</w:t>
            </w:r>
          </w:p>
        </w:tc>
      </w:tr>
      <w:tr w:rsidR="00374D69" w:rsidRPr="005B0769" w:rsidTr="00E21C8B">
        <w:trPr>
          <w:trHeight w:val="2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070003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嘉实稳健开放式证券投资基金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嘉实稳健混合</w:t>
            </w:r>
          </w:p>
        </w:tc>
      </w:tr>
      <w:tr w:rsidR="00374D69" w:rsidRPr="005B0769" w:rsidTr="00E21C8B">
        <w:trPr>
          <w:trHeight w:val="2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070005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嘉实债券开放式证券投资基金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嘉实债券</w:t>
            </w:r>
          </w:p>
        </w:tc>
      </w:tr>
      <w:tr w:rsidR="00374D69" w:rsidRPr="005B0769" w:rsidTr="00E21C8B">
        <w:trPr>
          <w:trHeight w:val="2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070006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嘉实服务增值行业证券投资基金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嘉实服务增值行业混合</w:t>
            </w:r>
          </w:p>
        </w:tc>
      </w:tr>
      <w:tr w:rsidR="00374D69" w:rsidRPr="005B0769" w:rsidTr="00E21C8B">
        <w:trPr>
          <w:trHeight w:val="2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070008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嘉实货币市场基金A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嘉实货币A</w:t>
            </w:r>
          </w:p>
        </w:tc>
      </w:tr>
      <w:tr w:rsidR="00374D69" w:rsidRPr="005B0769" w:rsidTr="00E21C8B">
        <w:trPr>
          <w:trHeight w:val="2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070009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嘉实超短债证券投资基金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嘉实超短债债券</w:t>
            </w:r>
          </w:p>
        </w:tc>
      </w:tr>
      <w:tr w:rsidR="00374D69" w:rsidRPr="005B0769" w:rsidTr="00E21C8B">
        <w:trPr>
          <w:trHeight w:val="2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070010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嘉实主题精选混合型证券投资基金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嘉实主题混合</w:t>
            </w:r>
          </w:p>
        </w:tc>
      </w:tr>
      <w:tr w:rsidR="00374D69" w:rsidRPr="005B0769" w:rsidTr="00E21C8B">
        <w:trPr>
          <w:trHeight w:val="2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070011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嘉实策略增长混合型证券投资基金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嘉实策略混合</w:t>
            </w:r>
          </w:p>
        </w:tc>
      </w:tr>
      <w:tr w:rsidR="00374D69" w:rsidRPr="005B0769" w:rsidTr="00E21C8B">
        <w:trPr>
          <w:trHeight w:val="2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070013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嘉实研究精选混合型证券投资基金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嘉实研究精选混合</w:t>
            </w:r>
          </w:p>
        </w:tc>
      </w:tr>
      <w:tr w:rsidR="00374D69" w:rsidRPr="005B0769" w:rsidTr="00E21C8B">
        <w:trPr>
          <w:trHeight w:val="2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070015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嘉实多元收益债券型证券投资基金A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嘉实多元债券A</w:t>
            </w:r>
          </w:p>
        </w:tc>
      </w:tr>
      <w:tr w:rsidR="00374D69" w:rsidRPr="005B0769" w:rsidTr="00E21C8B">
        <w:trPr>
          <w:trHeight w:val="2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070016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嘉实多元收益债券型证券投资基金B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嘉实多元债券B</w:t>
            </w:r>
          </w:p>
        </w:tc>
      </w:tr>
      <w:tr w:rsidR="00374D69" w:rsidRPr="005B0769" w:rsidTr="00E21C8B">
        <w:trPr>
          <w:trHeight w:val="2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070017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嘉实量化阿尔法混合型证券投资基金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嘉实量化阿尔法混合</w:t>
            </w:r>
          </w:p>
        </w:tc>
      </w:tr>
      <w:tr w:rsidR="00374D69" w:rsidRPr="005B0769" w:rsidTr="00E21C8B">
        <w:trPr>
          <w:trHeight w:val="2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070018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嘉实回报灵活配置混合型证券投资基金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嘉实回报混合</w:t>
            </w:r>
          </w:p>
        </w:tc>
      </w:tr>
      <w:tr w:rsidR="00374D69" w:rsidRPr="005B0769" w:rsidTr="00E21C8B">
        <w:trPr>
          <w:trHeight w:val="2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070019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嘉实价值优势混合型证券投资基金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嘉实价值优势混合</w:t>
            </w:r>
          </w:p>
        </w:tc>
      </w:tr>
      <w:tr w:rsidR="00374D69" w:rsidRPr="005B0769" w:rsidTr="00E21C8B">
        <w:trPr>
          <w:trHeight w:val="2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070020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嘉实稳固收益债券型证券投资基金C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嘉实稳固收益债券C</w:t>
            </w:r>
          </w:p>
        </w:tc>
      </w:tr>
      <w:tr w:rsidR="00374D69" w:rsidRPr="005B0769" w:rsidTr="00E21C8B">
        <w:trPr>
          <w:trHeight w:val="2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070021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嘉实主题新动力混合型证券投资基金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嘉实主题新动力混合</w:t>
            </w:r>
          </w:p>
        </w:tc>
      </w:tr>
      <w:tr w:rsidR="00374D69" w:rsidRPr="005B0769" w:rsidTr="00E21C8B">
        <w:trPr>
          <w:trHeight w:val="2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070022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嘉实领先成长混合型证券投资基金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嘉实领先成长混合</w:t>
            </w:r>
          </w:p>
        </w:tc>
      </w:tr>
      <w:tr w:rsidR="00374D69" w:rsidRPr="005B0769" w:rsidTr="00E21C8B">
        <w:trPr>
          <w:trHeight w:val="2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070023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嘉实深证基本面120交易型开放式指数证券投资基金联接基金A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嘉实深证基本面120ETF联接A</w:t>
            </w:r>
          </w:p>
        </w:tc>
      </w:tr>
      <w:tr w:rsidR="00374D69" w:rsidRPr="005B0769" w:rsidTr="00E21C8B">
        <w:trPr>
          <w:trHeight w:val="2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070025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嘉实信用债券型证券投资基金A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嘉实信用债券A</w:t>
            </w:r>
          </w:p>
        </w:tc>
      </w:tr>
      <w:tr w:rsidR="00374D69" w:rsidRPr="005B0769" w:rsidTr="00E21C8B">
        <w:trPr>
          <w:trHeight w:val="2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070026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嘉实信用债券型证券投资基金C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嘉实信用债券C</w:t>
            </w:r>
          </w:p>
        </w:tc>
      </w:tr>
      <w:tr w:rsidR="00374D69" w:rsidRPr="005B0769" w:rsidTr="00E21C8B">
        <w:trPr>
          <w:trHeight w:val="2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070027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嘉实周期优选混合型证券投资基金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嘉实周期优选混合</w:t>
            </w:r>
          </w:p>
        </w:tc>
      </w:tr>
      <w:tr w:rsidR="00374D69" w:rsidRPr="005B0769" w:rsidTr="00E21C8B">
        <w:trPr>
          <w:trHeight w:val="2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070028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嘉实安心货币市场基金A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嘉实安心货币A</w:t>
            </w:r>
          </w:p>
        </w:tc>
      </w:tr>
      <w:tr w:rsidR="00374D69" w:rsidRPr="005B0769" w:rsidTr="00E21C8B">
        <w:trPr>
          <w:trHeight w:val="2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070029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嘉实安心货币市场基金B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嘉实安心货币B</w:t>
            </w:r>
          </w:p>
        </w:tc>
      </w:tr>
      <w:tr w:rsidR="00374D69" w:rsidRPr="005B0769" w:rsidTr="00E21C8B">
        <w:trPr>
          <w:trHeight w:val="2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070030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嘉实中创400交易型开放式指数证券投资基金联接基金A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嘉实中创400ETF联接A</w:t>
            </w:r>
          </w:p>
        </w:tc>
      </w:tr>
      <w:tr w:rsidR="00374D69" w:rsidRPr="005B0769" w:rsidTr="00E21C8B">
        <w:trPr>
          <w:trHeight w:val="2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070032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嘉实优化红利混合型证券投资基金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嘉实优化红利混合</w:t>
            </w:r>
          </w:p>
        </w:tc>
      </w:tr>
      <w:tr w:rsidR="00374D69" w:rsidRPr="005B0769" w:rsidTr="00E21C8B">
        <w:trPr>
          <w:trHeight w:val="2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070037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嘉实纯债债券型发起式证券投资基金A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嘉实纯债债券A</w:t>
            </w:r>
          </w:p>
        </w:tc>
      </w:tr>
      <w:tr w:rsidR="00374D69" w:rsidRPr="005B0769" w:rsidTr="00E21C8B">
        <w:trPr>
          <w:trHeight w:val="2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070038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嘉实纯债债券型发起式证券投资基金C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嘉实纯债债券C</w:t>
            </w:r>
          </w:p>
        </w:tc>
      </w:tr>
      <w:tr w:rsidR="00374D69" w:rsidRPr="005B0769" w:rsidTr="00E21C8B">
        <w:trPr>
          <w:trHeight w:val="2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070039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嘉实中证500交易型开放式指数证券投资基金联接基金C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嘉实中证500ETF联接C</w:t>
            </w:r>
          </w:p>
        </w:tc>
      </w:tr>
      <w:tr w:rsidR="00374D69" w:rsidRPr="005B0769" w:rsidTr="00E21C8B">
        <w:trPr>
          <w:trHeight w:val="2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070088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嘉实货币市场基金B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嘉实货币B</w:t>
            </w:r>
          </w:p>
        </w:tc>
      </w:tr>
      <w:tr w:rsidR="00374D69" w:rsidRPr="005B0769" w:rsidTr="00E21C8B">
        <w:trPr>
          <w:trHeight w:val="2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070099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嘉实优质企业混合型证券投资基金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嘉实优质企业混合</w:t>
            </w:r>
          </w:p>
        </w:tc>
      </w:tr>
      <w:tr w:rsidR="00374D69" w:rsidRPr="005B0769" w:rsidTr="00E21C8B">
        <w:trPr>
          <w:trHeight w:val="270"/>
        </w:trPr>
        <w:tc>
          <w:tcPr>
            <w:tcW w:w="9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:rsidR="00374D69" w:rsidRPr="005B0769" w:rsidRDefault="00374D69" w:rsidP="005B0769">
            <w:pPr>
              <w:widowControl/>
              <w:jc w:val="center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注册登记在中国证券登记结算有限责任公司的基金</w:t>
            </w:r>
          </w:p>
        </w:tc>
      </w:tr>
      <w:tr w:rsidR="00374D69" w:rsidRPr="005B0769" w:rsidTr="00E21C8B">
        <w:trPr>
          <w:trHeight w:val="2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160706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嘉实沪深300交易型开放式指数证券投资基金联接基金(LOF)A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嘉实沪深300ETF联接(LOF)A</w:t>
            </w:r>
          </w:p>
        </w:tc>
      </w:tr>
      <w:tr w:rsidR="00374D69" w:rsidRPr="005B0769" w:rsidTr="00E21C8B">
        <w:trPr>
          <w:trHeight w:val="2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160716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嘉实中证锐联基本面50指数证券投资基金（LOF）A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嘉实基本面50指数(LOF)A</w:t>
            </w:r>
          </w:p>
        </w:tc>
      </w:tr>
      <w:tr w:rsidR="00374D69" w:rsidRPr="005B0769" w:rsidTr="00E21C8B">
        <w:trPr>
          <w:trHeight w:val="2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160722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嘉实惠泽灵活配置混合型证券投资基金（LOF）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嘉实惠泽混合（LOF）</w:t>
            </w:r>
          </w:p>
        </w:tc>
      </w:tr>
      <w:tr w:rsidR="00374D69" w:rsidRPr="005B0769" w:rsidTr="00E21C8B">
        <w:trPr>
          <w:trHeight w:val="2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160724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嘉实沪深300交易型开放式指数证券投资基金联接基金(LOF)C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嘉实沪深300ETF联接(LOF)C</w:t>
            </w:r>
          </w:p>
        </w:tc>
      </w:tr>
      <w:tr w:rsidR="00374D69" w:rsidRPr="005B0769" w:rsidTr="00E21C8B">
        <w:trPr>
          <w:trHeight w:val="2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160725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嘉实中证锐联基本面50指数证券投资基金（LOF）C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嘉实基本面50指数(LOF)C</w:t>
            </w:r>
          </w:p>
        </w:tc>
      </w:tr>
      <w:tr w:rsidR="00374D69" w:rsidRPr="005B0769" w:rsidTr="00E21C8B">
        <w:trPr>
          <w:trHeight w:val="2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160726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嘉实瑞享定期开放灵活配置混合型证券投资基金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EB" w:rsidRPr="005B0769" w:rsidRDefault="000A7EEB" w:rsidP="00374D69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5B0769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嘉实瑞享定期混合</w:t>
            </w:r>
          </w:p>
        </w:tc>
      </w:tr>
    </w:tbl>
    <w:p w:rsidR="00C77946" w:rsidRDefault="00C77946" w:rsidP="00C77946">
      <w:pPr>
        <w:pStyle w:val="a4"/>
        <w:spacing w:before="100" w:beforeAutospacing="1" w:after="100" w:afterAutospacing="1"/>
        <w:ind w:left="845" w:firstLineChars="0" w:firstLine="0"/>
      </w:pPr>
    </w:p>
    <w:p w:rsidR="00E21C8B" w:rsidRDefault="00E21C8B" w:rsidP="00C77946">
      <w:pPr>
        <w:pStyle w:val="a4"/>
        <w:spacing w:before="100" w:beforeAutospacing="1" w:after="100" w:afterAutospacing="1"/>
        <w:ind w:left="845" w:firstLineChars="0" w:firstLine="0"/>
      </w:pPr>
    </w:p>
    <w:p w:rsidR="00207974" w:rsidRDefault="004C78E0" w:rsidP="00207974">
      <w:pPr>
        <w:pStyle w:val="a4"/>
        <w:numPr>
          <w:ilvl w:val="0"/>
          <w:numId w:val="1"/>
        </w:numPr>
        <w:spacing w:before="100" w:beforeAutospacing="1" w:after="100" w:afterAutospacing="1"/>
        <w:ind w:firstLineChars="0"/>
      </w:pPr>
      <w:r>
        <w:rPr>
          <w:rFonts w:hint="eastAsia"/>
        </w:rPr>
        <w:t>重要提示</w:t>
      </w:r>
    </w:p>
    <w:p w:rsidR="004C78E0" w:rsidRDefault="0098532B" w:rsidP="00D30829">
      <w:pPr>
        <w:spacing w:before="100" w:beforeAutospacing="1" w:after="100" w:afterAutospacing="1"/>
        <w:ind w:left="425"/>
      </w:pPr>
      <w:r>
        <w:rPr>
          <w:rFonts w:hint="eastAsia"/>
        </w:rPr>
        <w:t>1、</w:t>
      </w:r>
      <w:r w:rsidR="004C78E0">
        <w:rPr>
          <w:rFonts w:hint="eastAsia"/>
        </w:rPr>
        <w:t>投资者于2021年1月</w:t>
      </w:r>
      <w:r w:rsidR="00B5198A">
        <w:rPr>
          <w:rFonts w:hint="eastAsia"/>
        </w:rPr>
        <w:t>2</w:t>
      </w:r>
      <w:r w:rsidR="00305EBA">
        <w:rPr>
          <w:rFonts w:hint="eastAsia"/>
        </w:rPr>
        <w:t>2</w:t>
      </w:r>
      <w:r w:rsidR="004C78E0">
        <w:rPr>
          <w:rFonts w:hint="eastAsia"/>
        </w:rPr>
        <w:t>日前</w:t>
      </w:r>
      <w:r w:rsidR="00C152D9">
        <w:rPr>
          <w:rFonts w:hint="eastAsia"/>
        </w:rPr>
        <w:t>已</w:t>
      </w:r>
      <w:r w:rsidR="004C78E0">
        <w:rPr>
          <w:rFonts w:hint="eastAsia"/>
        </w:rPr>
        <w:t>签订的不同TA间基金的定期定额转换协议</w:t>
      </w:r>
      <w:r w:rsidR="00C152D9">
        <w:rPr>
          <w:rFonts w:hint="eastAsia"/>
        </w:rPr>
        <w:t>后续</w:t>
      </w:r>
      <w:r w:rsidR="004C78E0">
        <w:rPr>
          <w:rFonts w:hint="eastAsia"/>
        </w:rPr>
        <w:t>将不会自动发起</w:t>
      </w:r>
      <w:r w:rsidR="00C152D9">
        <w:rPr>
          <w:rFonts w:hint="eastAsia"/>
        </w:rPr>
        <w:t>。</w:t>
      </w:r>
    </w:p>
    <w:p w:rsidR="004C78E0" w:rsidRDefault="0098532B" w:rsidP="004C78E0">
      <w:pPr>
        <w:spacing w:before="100" w:beforeAutospacing="1" w:after="100" w:afterAutospacing="1"/>
        <w:ind w:firstLineChars="200" w:firstLine="420"/>
      </w:pPr>
      <w:r>
        <w:rPr>
          <w:rFonts w:hint="eastAsia"/>
        </w:rPr>
        <w:t>2、</w:t>
      </w:r>
      <w:r w:rsidR="004C78E0">
        <w:t>投资者可登陆本公司网站(www.jsfund.cn）或拨打客户服务电话400-600-8800咨询有关信息。</w:t>
      </w:r>
    </w:p>
    <w:p w:rsidR="004C78E0" w:rsidRDefault="0098532B" w:rsidP="004C78E0">
      <w:pPr>
        <w:spacing w:before="100" w:beforeAutospacing="1" w:after="100" w:afterAutospacing="1"/>
        <w:ind w:firstLineChars="200" w:firstLine="420"/>
      </w:pPr>
      <w:r>
        <w:rPr>
          <w:rFonts w:hint="eastAsia"/>
        </w:rPr>
        <w:t>3、</w:t>
      </w:r>
      <w:r w:rsidR="004C78E0">
        <w:t>上述业务的解释权归本公司所有。</w:t>
      </w:r>
    </w:p>
    <w:p w:rsidR="004C78E0" w:rsidRDefault="0098532B" w:rsidP="004C78E0">
      <w:pPr>
        <w:spacing w:before="100" w:beforeAutospacing="1" w:after="100" w:afterAutospacing="1"/>
        <w:ind w:firstLineChars="200" w:firstLine="420"/>
      </w:pPr>
      <w:r>
        <w:rPr>
          <w:rFonts w:hint="eastAsia"/>
        </w:rPr>
        <w:t>4、</w:t>
      </w:r>
      <w:r w:rsidR="004C78E0">
        <w:t>风险提示</w:t>
      </w:r>
    </w:p>
    <w:p w:rsidR="0060757A" w:rsidRPr="0060757A" w:rsidRDefault="004C78E0" w:rsidP="004C78E0">
      <w:pPr>
        <w:spacing w:before="100" w:beforeAutospacing="1" w:after="100" w:afterAutospacing="1"/>
        <w:ind w:firstLineChars="200" w:firstLine="420"/>
      </w:pPr>
      <w:r>
        <w:rPr>
          <w:rFonts w:hint="eastAsia"/>
        </w:rPr>
        <w:t>本公司承诺以诚实信用、勤勉尽责的原则管理和运用基金资产，但不保证基金一定盈利，也不保证最低收益。敬请投资者注意投资风险。请投资者于投资前认真阅读各只基金的《基金合同》和《招募说明书》。</w:t>
      </w:r>
      <w:r w:rsidR="0060757A" w:rsidRPr="0060757A">
        <w:rPr>
          <w:rFonts w:hint="eastAsia"/>
        </w:rPr>
        <w:t>特此公告。</w:t>
      </w:r>
    </w:p>
    <w:p w:rsidR="00207974" w:rsidRDefault="00207974" w:rsidP="00207974">
      <w:pPr>
        <w:pStyle w:val="a4"/>
        <w:spacing w:before="100" w:beforeAutospacing="1" w:after="100" w:afterAutospacing="1"/>
        <w:ind w:left="840" w:right="420"/>
        <w:jc w:val="right"/>
      </w:pPr>
    </w:p>
    <w:p w:rsidR="0060757A" w:rsidRPr="0060757A" w:rsidRDefault="0060757A" w:rsidP="00207974">
      <w:pPr>
        <w:pStyle w:val="a4"/>
        <w:spacing w:before="100" w:beforeAutospacing="1" w:after="100" w:afterAutospacing="1"/>
        <w:ind w:left="840"/>
        <w:jc w:val="right"/>
      </w:pPr>
      <w:r w:rsidRPr="0060757A">
        <w:rPr>
          <w:rFonts w:hint="eastAsia"/>
        </w:rPr>
        <w:t>嘉实基金管理有限公司</w:t>
      </w:r>
    </w:p>
    <w:p w:rsidR="0060757A" w:rsidRPr="0060757A" w:rsidRDefault="0060757A" w:rsidP="00207974">
      <w:pPr>
        <w:pStyle w:val="a4"/>
        <w:spacing w:before="100" w:beforeAutospacing="1" w:after="100" w:afterAutospacing="1"/>
        <w:ind w:left="840"/>
        <w:jc w:val="right"/>
      </w:pPr>
      <w:r w:rsidRPr="0060757A">
        <w:rPr>
          <w:rFonts w:hint="eastAsia"/>
        </w:rPr>
        <w:t>20</w:t>
      </w:r>
      <w:r w:rsidR="00207974">
        <w:rPr>
          <w:rFonts w:hint="eastAsia"/>
        </w:rPr>
        <w:t>2</w:t>
      </w:r>
      <w:r w:rsidR="00C34880">
        <w:t>1</w:t>
      </w:r>
      <w:r w:rsidRPr="0060757A">
        <w:rPr>
          <w:rFonts w:hint="eastAsia"/>
        </w:rPr>
        <w:t>年</w:t>
      </w:r>
      <w:r w:rsidR="00C34880">
        <w:t>1</w:t>
      </w:r>
      <w:r w:rsidRPr="0060757A">
        <w:rPr>
          <w:rFonts w:hint="eastAsia"/>
        </w:rPr>
        <w:t>月</w:t>
      </w:r>
      <w:r w:rsidR="00B5198A">
        <w:rPr>
          <w:rFonts w:hint="eastAsia"/>
        </w:rPr>
        <w:t>2</w:t>
      </w:r>
      <w:r w:rsidR="00305EBA">
        <w:rPr>
          <w:rFonts w:hint="eastAsia"/>
        </w:rPr>
        <w:t>1</w:t>
      </w:r>
      <w:bookmarkStart w:id="0" w:name="_GoBack"/>
      <w:bookmarkEnd w:id="0"/>
      <w:r w:rsidRPr="0060757A">
        <w:rPr>
          <w:rFonts w:hint="eastAsia"/>
        </w:rPr>
        <w:t>日</w:t>
      </w:r>
    </w:p>
    <w:p w:rsidR="0060757A" w:rsidRPr="000523B7" w:rsidRDefault="0060757A" w:rsidP="00207974">
      <w:pPr>
        <w:pStyle w:val="a4"/>
        <w:spacing w:line="360" w:lineRule="auto"/>
        <w:ind w:left="840" w:firstLineChars="0" w:firstLine="0"/>
      </w:pPr>
    </w:p>
    <w:sectPr w:rsidR="0060757A" w:rsidRPr="000523B7" w:rsidSect="00374D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A8C" w:rsidRDefault="00A51A8C" w:rsidP="003528F7">
      <w:r>
        <w:separator/>
      </w:r>
    </w:p>
  </w:endnote>
  <w:endnote w:type="continuationSeparator" w:id="0">
    <w:p w:rsidR="00A51A8C" w:rsidRDefault="00A51A8C" w:rsidP="003528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A8C" w:rsidRDefault="00A51A8C" w:rsidP="003528F7">
      <w:r>
        <w:separator/>
      </w:r>
    </w:p>
  </w:footnote>
  <w:footnote w:type="continuationSeparator" w:id="0">
    <w:p w:rsidR="00A51A8C" w:rsidRDefault="00A51A8C" w:rsidP="003528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8A55F1"/>
    <w:multiLevelType w:val="hybridMultilevel"/>
    <w:tmpl w:val="76AE8036"/>
    <w:lvl w:ilvl="0" w:tplc="A0B0178A">
      <w:start w:val="1"/>
      <w:numFmt w:val="japaneseCounting"/>
      <w:lvlText w:val="%1、"/>
      <w:lvlJc w:val="left"/>
      <w:pPr>
        <w:ind w:left="845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51FD"/>
    <w:rsid w:val="0000421B"/>
    <w:rsid w:val="000523B7"/>
    <w:rsid w:val="000A7EEB"/>
    <w:rsid w:val="001453F2"/>
    <w:rsid w:val="00180836"/>
    <w:rsid w:val="001A61DD"/>
    <w:rsid w:val="001B428C"/>
    <w:rsid w:val="00207974"/>
    <w:rsid w:val="00305EBA"/>
    <w:rsid w:val="0034232F"/>
    <w:rsid w:val="003528F7"/>
    <w:rsid w:val="003664C4"/>
    <w:rsid w:val="00374D69"/>
    <w:rsid w:val="00387E5C"/>
    <w:rsid w:val="00427D16"/>
    <w:rsid w:val="004C78E0"/>
    <w:rsid w:val="004F7E90"/>
    <w:rsid w:val="00570B2F"/>
    <w:rsid w:val="005912F1"/>
    <w:rsid w:val="005A4AC3"/>
    <w:rsid w:val="005B0769"/>
    <w:rsid w:val="005E7C6F"/>
    <w:rsid w:val="0060757A"/>
    <w:rsid w:val="006151FD"/>
    <w:rsid w:val="006D27DF"/>
    <w:rsid w:val="006E4DEE"/>
    <w:rsid w:val="00785241"/>
    <w:rsid w:val="00883DE8"/>
    <w:rsid w:val="009046C8"/>
    <w:rsid w:val="00946AFD"/>
    <w:rsid w:val="0098532B"/>
    <w:rsid w:val="00A51A8C"/>
    <w:rsid w:val="00A57F3A"/>
    <w:rsid w:val="00AB3FCB"/>
    <w:rsid w:val="00B5198A"/>
    <w:rsid w:val="00B964D1"/>
    <w:rsid w:val="00BE68ED"/>
    <w:rsid w:val="00C152D9"/>
    <w:rsid w:val="00C31117"/>
    <w:rsid w:val="00C34880"/>
    <w:rsid w:val="00C77946"/>
    <w:rsid w:val="00CD36E0"/>
    <w:rsid w:val="00D30829"/>
    <w:rsid w:val="00D95079"/>
    <w:rsid w:val="00E21C8B"/>
    <w:rsid w:val="00E72A64"/>
    <w:rsid w:val="00EF1EE6"/>
    <w:rsid w:val="00F17EDF"/>
    <w:rsid w:val="00F72F4C"/>
    <w:rsid w:val="00FA42CC"/>
    <w:rsid w:val="00FC7BCA"/>
    <w:rsid w:val="00FF4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E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E7C6F"/>
    <w:rPr>
      <w:b/>
      <w:bCs/>
    </w:rPr>
  </w:style>
  <w:style w:type="paragraph" w:styleId="a4">
    <w:name w:val="List Paragraph"/>
    <w:basedOn w:val="a"/>
    <w:uiPriority w:val="34"/>
    <w:qFormat/>
    <w:rsid w:val="00F17EDF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3528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3528F7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3528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3528F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1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5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8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7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810</Words>
  <Characters>4623</Characters>
  <Application>Microsoft Office Word</Application>
  <DocSecurity>4</DocSecurity>
  <Lines>38</Lines>
  <Paragraphs>10</Paragraphs>
  <ScaleCrop>false</ScaleCrop>
  <Company>jsfund</Company>
  <LinksUpToDate>false</LinksUpToDate>
  <CharactersWithSpaces>5423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李晨[登记结算]</dc:creator>
  <cp:keywords/>
  <dc:description/>
  <cp:lastModifiedBy>ZHONGM</cp:lastModifiedBy>
  <cp:revision>2</cp:revision>
  <dcterms:created xsi:type="dcterms:W3CDTF">2021-01-20T16:22:00Z</dcterms:created>
  <dcterms:modified xsi:type="dcterms:W3CDTF">2021-01-20T16:22:00Z</dcterms:modified>
</cp:coreProperties>
</file>