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9668ED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2E4C0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4C142A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4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9668ED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9668E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69148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9668E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1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005581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华夏中小板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9668ED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9668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1"/>
      <w:tr w:rsidR="00741C19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41C19" w:rsidRPr="00B501D4" w:rsidRDefault="00741C19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741C19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</w:tcPr>
          <w:p w:rsidR="00741C19" w:rsidRPr="00B501D4" w:rsidRDefault="00741C19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741C19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41C19" w:rsidRPr="00B501D4" w:rsidRDefault="00741C19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741C19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</w:tcPr>
          <w:p w:rsidR="00741C19" w:rsidRPr="00B501D4" w:rsidRDefault="00741C19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741C19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41C19" w:rsidRPr="00B501D4" w:rsidRDefault="00741C19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741C19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</w:tcPr>
          <w:p w:rsidR="00741C19" w:rsidRPr="00B501D4" w:rsidRDefault="00741C19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741C19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2E4C01" w:rsidRPr="00B501D4" w:rsidRDefault="002E4C01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E4C01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</w:tcPr>
          <w:p w:rsidR="002E4C01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D263A" w:rsidRPr="00B501D4" w:rsidRDefault="00225BBC" w:rsidP="009668ED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</w:tcPr>
          <w:p w:rsidR="00ED263A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E032B7" w:rsidRPr="00B501D4" w:rsidRDefault="00225BBC" w:rsidP="009668ED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092" w:type="dxa"/>
            <w:shd w:val="clear" w:color="auto" w:fill="auto"/>
            <w:noWrap/>
          </w:tcPr>
          <w:p w:rsidR="00DB2EB8" w:rsidRDefault="00225BBC" w:rsidP="009668ED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</w:tcPr>
          <w:p w:rsidR="00E032B7" w:rsidRPr="004C142A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476" w:type="dxa"/>
            <w:shd w:val="clear" w:color="auto" w:fill="auto"/>
            <w:noWrap/>
          </w:tcPr>
          <w:p w:rsidR="00DB2EB8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4C142A" w:rsidRPr="00225BBC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</w:tcPr>
          <w:p w:rsidR="004C142A" w:rsidRPr="00225BBC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</w:tcPr>
          <w:p w:rsidR="004C142A" w:rsidRPr="00B501D4" w:rsidRDefault="004C142A" w:rsidP="009668ED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</w:tcPr>
          <w:p w:rsidR="004C142A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4C142A" w:rsidRPr="00225BBC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</w:tcPr>
          <w:p w:rsidR="004C142A" w:rsidRPr="00225BBC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</w:tcPr>
          <w:p w:rsidR="004C142A" w:rsidRPr="00B501D4" w:rsidRDefault="004C142A" w:rsidP="009668ED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</w:tcPr>
          <w:p w:rsidR="004C142A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4C142A" w:rsidRPr="00225BBC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</w:tcPr>
          <w:p w:rsidR="004C142A" w:rsidRPr="00225BBC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</w:tcPr>
          <w:p w:rsidR="004C142A" w:rsidRPr="00B501D4" w:rsidRDefault="004C142A" w:rsidP="009668ED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476" w:type="dxa"/>
            <w:shd w:val="clear" w:color="auto" w:fill="auto"/>
            <w:noWrap/>
          </w:tcPr>
          <w:p w:rsidR="004C142A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4C142A" w:rsidRPr="00225BBC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092" w:type="dxa"/>
            <w:shd w:val="clear" w:color="auto" w:fill="auto"/>
            <w:noWrap/>
          </w:tcPr>
          <w:p w:rsidR="004C142A" w:rsidRPr="00225BBC" w:rsidRDefault="00685D60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</w:tcPr>
          <w:p w:rsidR="004C142A" w:rsidRPr="00B501D4" w:rsidRDefault="004C142A" w:rsidP="009668ED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476" w:type="dxa"/>
            <w:shd w:val="clear" w:color="auto" w:fill="auto"/>
            <w:noWrap/>
          </w:tcPr>
          <w:p w:rsidR="004C142A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4C142A" w:rsidRPr="00225BBC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</w:tcPr>
          <w:p w:rsidR="004C142A" w:rsidRPr="00225BBC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</w:tcPr>
          <w:p w:rsidR="004C142A" w:rsidRPr="00B501D4" w:rsidRDefault="004C142A" w:rsidP="009668ED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476" w:type="dxa"/>
            <w:shd w:val="clear" w:color="auto" w:fill="auto"/>
            <w:noWrap/>
          </w:tcPr>
          <w:p w:rsidR="004C142A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9668ED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4C142A" w:rsidRPr="00225BBC" w:rsidRDefault="004C142A" w:rsidP="009668E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092" w:type="dxa"/>
            <w:shd w:val="clear" w:color="auto" w:fill="auto"/>
            <w:noWrap/>
          </w:tcPr>
          <w:p w:rsidR="004C142A" w:rsidRPr="00225BBC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</w:tcPr>
          <w:p w:rsidR="004C142A" w:rsidRPr="00B501D4" w:rsidRDefault="004C142A" w:rsidP="00966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noWrap/>
          </w:tcPr>
          <w:p w:rsidR="004C142A" w:rsidRDefault="004C142A" w:rsidP="00966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01" w:rsidRPr="00AA7C68" w:rsidRDefault="006F6D89" w:rsidP="009668E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2020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4C142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9668E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9668ED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lastRenderedPageBreak/>
        <w:t>特此公告</w:t>
      </w:r>
    </w:p>
    <w:p w:rsidR="00AA7C68" w:rsidRDefault="00AA7C68" w:rsidP="009668ED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9668ED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9668ED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4C142A">
        <w:rPr>
          <w:rFonts w:ascii="宋体" w:hAnsi="宋体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4C142A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4C142A">
        <w:rPr>
          <w:rFonts w:ascii="Times New Roman" w:eastAsia="宋体" w:hAnsi="Times New Roman" w:cs="Times New Roman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  <w:bookmarkEnd w:id="0"/>
    </w:p>
    <w:sectPr w:rsidR="00BB3501" w:rsidRPr="0056761B" w:rsidSect="009668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BA" w:rsidRDefault="005E2ABA" w:rsidP="009A149B">
      <w:r>
        <w:separator/>
      </w:r>
    </w:p>
  </w:endnote>
  <w:endnote w:type="continuationSeparator" w:id="0">
    <w:p w:rsidR="005E2ABA" w:rsidRDefault="005E2AB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5E2ABA" w:rsidRDefault="00B563ED">
        <w:pPr>
          <w:pStyle w:val="a4"/>
          <w:jc w:val="center"/>
        </w:pPr>
        <w:r w:rsidRPr="00B563ED">
          <w:fldChar w:fldCharType="begin"/>
        </w:r>
        <w:r w:rsidR="00EE0209">
          <w:instrText>PAGE   \* MERGEFORMAT</w:instrText>
        </w:r>
        <w:r w:rsidRPr="00B563ED">
          <w:fldChar w:fldCharType="separate"/>
        </w:r>
        <w:r w:rsidR="000B178E" w:rsidRPr="000B178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E2ABA" w:rsidRDefault="005E2A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5E2ABA" w:rsidRDefault="00B563ED">
        <w:pPr>
          <w:pStyle w:val="a4"/>
          <w:jc w:val="center"/>
        </w:pPr>
        <w:r w:rsidRPr="00B563ED">
          <w:fldChar w:fldCharType="begin"/>
        </w:r>
        <w:r w:rsidR="00EE0209">
          <w:instrText>PAGE   \* MERGEFORMAT</w:instrText>
        </w:r>
        <w:r w:rsidRPr="00B563ED">
          <w:fldChar w:fldCharType="separate"/>
        </w:r>
        <w:r w:rsidR="000B178E" w:rsidRPr="000B178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E2ABA" w:rsidRDefault="005E2A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BA" w:rsidRDefault="005E2ABA" w:rsidP="009A149B">
      <w:r>
        <w:separator/>
      </w:r>
    </w:p>
  </w:footnote>
  <w:footnote w:type="continuationSeparator" w:id="0">
    <w:p w:rsidR="005E2ABA" w:rsidRDefault="005E2AB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D" w:rsidRDefault="009668ED" w:rsidP="009668E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ED" w:rsidRDefault="009668ED" w:rsidP="009668E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BA" w:rsidRDefault="005E2ABA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178E"/>
    <w:rsid w:val="000B53A5"/>
    <w:rsid w:val="000C06E1"/>
    <w:rsid w:val="000C1032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2AB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3645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65EA"/>
    <w:rsid w:val="009506DC"/>
    <w:rsid w:val="009566C4"/>
    <w:rsid w:val="00956DD9"/>
    <w:rsid w:val="009628AE"/>
    <w:rsid w:val="009668ED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02016"/>
    <w:rsid w:val="00B11B77"/>
    <w:rsid w:val="00B16987"/>
    <w:rsid w:val="00B17B31"/>
    <w:rsid w:val="00B17EF5"/>
    <w:rsid w:val="00B2068A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563ED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067"/>
    <w:rsid w:val="00D919AF"/>
    <w:rsid w:val="00D9283F"/>
    <w:rsid w:val="00D937BD"/>
    <w:rsid w:val="00DA2D7C"/>
    <w:rsid w:val="00DB2EB8"/>
    <w:rsid w:val="00DB6F0A"/>
    <w:rsid w:val="00DD7BAA"/>
    <w:rsid w:val="00DE0FFA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6BAF-F14E-448A-8985-7FCDB23C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3610</Characters>
  <Application>Microsoft Office Word</Application>
  <DocSecurity>4</DocSecurity>
  <Lines>30</Lines>
  <Paragraphs>8</Paragraphs>
  <ScaleCrop>false</ScaleCrop>
  <Company>chinaamc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2021-01-20T06:23:00Z</cp:lastPrinted>
  <dcterms:created xsi:type="dcterms:W3CDTF">2021-01-20T16:22:00Z</dcterms:created>
  <dcterms:modified xsi:type="dcterms:W3CDTF">2021-01-20T16:22:00Z</dcterms:modified>
</cp:coreProperties>
</file>