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A40F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70BB8" w:rsidRPr="00070BB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770637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第4季度</w:t>
      </w:r>
      <w:r w:rsidR="00070BB8" w:rsidRPr="00070BB8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40F9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C17C03" w:rsidRDefault="009C002F" w:rsidP="00BA698F">
      <w:pPr>
        <w:spacing w:line="360" w:lineRule="auto"/>
        <w:ind w:firstLineChars="221" w:firstLine="707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C17C03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华安安顺灵活配置混合型证券投资基金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华安创新证券投资基金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MSCI中国A股指数增强型证券投资基金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华安现金富利投资基金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华安宝利配置证券投资基金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华安上证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180交易型开放式指数证券投资基金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华安宏利混合型证券投资基金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华安中小盘成长混合型证券投资基金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华安策略优选混合型证券投资基金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华安稳定收益债券型证券投资基金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华安核心优选混合型证券投资基金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华安强化收益债券型证券投资基金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华安上证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180交易型开放式指数证券投资基金联接基金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华安动态灵活配置混合型证券投资基金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华安行业轮动混合型证券投资基金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华安香港精选股票型证券投资基金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上证龙头企业交易型开放式指数证券投资基金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华安上证龙头企业交易型开放式指数证券投资基金联接基金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华安稳固收益债券型证券投资基金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华安升级主题混合型证券投资基金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华安大中华升级股票型证券投资基金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华安可转换债券债券型证券投资基金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华安量化多因子混合型证券投资基金（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LOF）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信用四季红债券型证券投资基金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华安科技动力混合型证券投资基金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华安标普全球石油指数证券投资基金（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LOF）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华安逆向策略混合型证券投资基金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华安安心收益债券型证券投资基金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华安日日鑫货币市场基金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华安添鑫中短债债券型证券投资基金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华安纯债债券型发起式证券投资基金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华安稳健回报混合型证券投资基金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华安双债添利债券型证券投资基金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华安纳斯达克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华安沪深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300量化增强证券投资基金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华安年年红定期开放债券型证券投资基金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华安生态优先混合型证券投资基金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华安新活力灵活配置混合型证券投资基金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华安汇财通货币市场基金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华安大国新经济股票型证券投资基金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DAX）交易型开放式指数证券投资基金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DAX）交易型开放式指数证券投资基金联接基金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华安安享灵活配置混合型证券投资基金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华安年年盈定期开放债券型证券投资基金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华安物联网主题股票型证券投资基金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华安新丝路主题股票型证券投资基金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华安新动力灵活配置混合型证券投资基金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华安智能装备主题股票型证券投资基金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华安媒体互联网混合型证券投资基金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华安新机遇灵活配置混合型证券投资基金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安新优选灵活配置混合型证券投资基金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华安新回报灵活配置混合型证券投资基金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华安中证全指证券公司指数分级证券投资基金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华安中证银行指数分级证券投资基金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华安国企改革主题灵活配置混合型证券投资基金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华安添颐混合型发起式证券投资基金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华安创业板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50指数分级证券投资基金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华安新乐享灵活配置混合型证券投资基金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华安安益灵活配置混合型证券投资基金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华安安康灵活配置混合型证券投资基金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华安安华灵活配置混合型证券投资基金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华安沪港深外延增长灵活配置混合型证券投资基金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华安全球美元收益债券型证券投资基金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华安安禧灵活配置混合型证券投资基金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华安全球美元票息债券型证券投资基金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华安安进灵活配置混合型发起式证券投资基金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华安创业板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华安聚利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18个月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华安智增精选灵活配置混合型证券投资基金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华安事件驱动量化策略混合型证券投资基金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华安新瑞利灵活配置混合型证券投资基金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华安鼎丰债券型发起式证券投资基金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华安新恒利灵活配置混合型证券投资基金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华安新泰利灵活配置混合型证券投资基金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华安新丰利灵活配置混合型证券投资基金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华安沪港深通精选灵活配置混合型证券投资基金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华安现金宝货币市场基金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华安创业板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华安沪港深机会灵活配置混合型证券投资基金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华安文体健康主题灵活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华安大安全主题灵活配置混合型证券投资基金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华安幸福生活混合型证券投资基金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华安鼎瑞定期开放债券型发起式证券投资基金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华安红利精选混合型证券投资基金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华安研究精选混合型证券投资基金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华安安逸半年定期开放债券型发起式证券投资基金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华安安悦债券型证券投资基金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华安睿明两年定期开放灵活配置混合型证券投资基金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CES港股通精选100交易型开放式指数证券投资基金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CES港股通精选100交易型开放式指数证券投资基金联接基金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华安全球稳健配置证券投资基金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华安安浦债券型证券投资基金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MSCI中国A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股国际交易型开放式指数证券投资基金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MSCI中国A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股国际交易型开放式指数证券投资基金联接基金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华安中证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500行业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中性低波动交易型开放式指数证券投资基金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华安鼎益债券型证券投资基金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华安制造先锋混合型证券投资基金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华安中证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500行业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中性低波动交易型开放式指数证券投资基金联接基金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华安安盛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华安沪深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300行业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中性低波动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ETF基金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华安双核驱动混合型证券投资基金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华安低碳生活混合型证券投资基金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华安沪港深优选混合型证券投资基金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华安养老目标日期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2030三年持有期混合型发起式基金中基金（FOF）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华安智能生活混合型证券投资基金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华安中债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1-3年政策性金融债指数证券投资基金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华安鼎信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华安三菱日联日经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225交易型开放式指数证券投资基金（QDII）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华安科创主题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华安成长创新混合型证券投资基金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华安安平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华安安业债券型证券投资基金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华安年年丰一年定期开放债券型证券投资基金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华安现金润利浮动净值型发起式货币市场基金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华安安嘉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华安中债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7-10年国开行债券指数证券投资基金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华安安和债券型证券投资基金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华安鑫福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42个月定期开放债券型证券投资基金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华安稳健养老目标一年持有期混合型发起式基金中基金（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华安沪深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华安汇智精选两年持有期混合型证券投资基金</w:t>
      </w:r>
      <w:r w:rsidR="004803BA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华安鑫浦</w:t>
      </w:r>
      <w:r w:rsidR="00163282" w:rsidRPr="00C17C03">
        <w:rPr>
          <w:rFonts w:ascii="仿宋" w:eastAsia="仿宋" w:hAnsi="仿宋"/>
          <w:color w:val="000000" w:themeColor="text1"/>
          <w:sz w:val="32"/>
          <w:szCs w:val="32"/>
        </w:rPr>
        <w:t>87个月定期开放债券型证券投资基金</w:t>
      </w:r>
      <w:r w:rsidR="00161F5D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华安优质生活混合型证券投资基金、华安安腾一年定期开放债券型发起式证券投资基金、华安科技创新混合型证券投资基金、华安医疗创新混合型证券投资基金、华安现代生活混合型证券投资基金、华安全球精选债券型证券投资基金（</w:t>
      </w:r>
      <w:r w:rsidR="00161F5D" w:rsidRPr="00C17C03">
        <w:rPr>
          <w:rFonts w:ascii="仿宋" w:eastAsia="仿宋" w:hAnsi="仿宋"/>
          <w:color w:val="000000" w:themeColor="text1"/>
          <w:sz w:val="32"/>
          <w:szCs w:val="32"/>
        </w:rPr>
        <w:t>QDII）、华安安敦债券型证券投资基金</w:t>
      </w:r>
      <w:r w:rsidR="00A36CDE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、华安法国</w:t>
      </w:r>
      <w:r w:rsidR="00A36CDE" w:rsidRPr="00C17C03">
        <w:rPr>
          <w:rFonts w:ascii="仿宋" w:eastAsia="仿宋" w:hAnsi="仿宋"/>
          <w:color w:val="000000" w:themeColor="text1"/>
          <w:sz w:val="32"/>
          <w:szCs w:val="32"/>
        </w:rPr>
        <w:t>CAC40交易型开放式指数证券投资基金（QDII）、华安鼎利混合型证券投资基金、华安添瑞6个月持有期混合型证券投资基金、华安聚优精选混合型证券投资基金</w:t>
      </w:r>
      <w:r w:rsidR="00CD7E63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7E63" w:rsidRPr="00BA698F">
        <w:rPr>
          <w:rFonts w:ascii="仿宋" w:eastAsia="仿宋" w:hAnsi="仿宋" w:hint="eastAsia"/>
          <w:color w:val="000000" w:themeColor="text1"/>
          <w:sz w:val="32"/>
          <w:szCs w:val="32"/>
        </w:rPr>
        <w:t>华安沪深</w:t>
      </w:r>
      <w:r w:rsidR="00CD7E63" w:rsidRPr="00BA698F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CD7E63" w:rsidRPr="00BA698F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交易型开放式指数证券投资基金发起式联接基金</w:t>
      </w:r>
      <w:r w:rsidR="00CD7E63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7E63" w:rsidRPr="00BA698F">
        <w:rPr>
          <w:rFonts w:ascii="仿宋" w:eastAsia="仿宋" w:hAnsi="仿宋" w:hint="eastAsia"/>
          <w:color w:val="000000" w:themeColor="text1"/>
          <w:sz w:val="32"/>
          <w:szCs w:val="32"/>
        </w:rPr>
        <w:t>华安中债</w:t>
      </w:r>
      <w:r w:rsidR="00CD7E63" w:rsidRPr="00BA698F">
        <w:rPr>
          <w:rFonts w:ascii="仿宋" w:eastAsia="仿宋" w:hAnsi="仿宋"/>
          <w:color w:val="000000" w:themeColor="text1"/>
          <w:sz w:val="32"/>
          <w:szCs w:val="32"/>
        </w:rPr>
        <w:t>1-5</w:t>
      </w:r>
      <w:r w:rsidR="00CD7E63" w:rsidRPr="00BA698F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  <w:r w:rsidR="00CD7E63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7E63" w:rsidRPr="00BA698F">
        <w:rPr>
          <w:rFonts w:ascii="仿宋" w:eastAsia="仿宋" w:hAnsi="仿宋" w:hint="eastAsia"/>
          <w:color w:val="000000" w:themeColor="text1"/>
          <w:sz w:val="32"/>
          <w:szCs w:val="32"/>
        </w:rPr>
        <w:t>华安创业板两年定期开放混合型证券投资基金</w:t>
      </w:r>
      <w:r w:rsidR="00CD7E63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7E63" w:rsidRPr="00BA698F">
        <w:rPr>
          <w:rFonts w:ascii="仿宋" w:eastAsia="仿宋" w:hAnsi="仿宋" w:hint="eastAsia"/>
          <w:color w:val="000000" w:themeColor="text1"/>
          <w:sz w:val="32"/>
          <w:szCs w:val="32"/>
        </w:rPr>
        <w:t>华安安利混合型证券投资基金</w:t>
      </w:r>
      <w:r w:rsidR="00CD7E63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7E63" w:rsidRPr="00BA698F">
        <w:rPr>
          <w:rFonts w:ascii="仿宋" w:eastAsia="仿宋" w:hAnsi="仿宋" w:hint="eastAsia"/>
          <w:color w:val="000000" w:themeColor="text1"/>
          <w:sz w:val="32"/>
          <w:szCs w:val="32"/>
        </w:rPr>
        <w:t>华安汇嘉精选混合型证券投资基金</w:t>
      </w:r>
      <w:r w:rsidR="00BB3501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70BB8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770637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70637" w:rsidRPr="00C17C03">
        <w:rPr>
          <w:rFonts w:ascii="仿宋" w:eastAsia="仿宋" w:hAnsi="仿宋"/>
          <w:color w:val="000000" w:themeColor="text1"/>
          <w:sz w:val="32"/>
          <w:szCs w:val="32"/>
        </w:rPr>
        <w:t>4季度</w:t>
      </w:r>
      <w:r w:rsidR="00070BB8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C17C03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70637" w:rsidRPr="00C17C03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070BB8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70637" w:rsidRPr="00C17C0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70BB8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70637" w:rsidRPr="00C17C03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070BB8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C17C03">
        <w:rPr>
          <w:rFonts w:ascii="仿宋" w:eastAsia="仿宋" w:hAnsi="仿宋"/>
          <w:color w:val="000000" w:themeColor="text1"/>
          <w:sz w:val="32"/>
          <w:szCs w:val="32"/>
        </w:rPr>
        <w:t>本公司网站[</w:t>
      </w:r>
      <w:r w:rsidRPr="00C17C03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 w:rsidRPr="00C17C03">
        <w:rPr>
          <w:rFonts w:ascii="仿宋" w:eastAsia="仿宋" w:hAnsi="仿宋"/>
          <w:color w:val="000000" w:themeColor="text1"/>
          <w:sz w:val="32"/>
          <w:szCs w:val="32"/>
        </w:rPr>
        <w:t>]和中国证监会</w:t>
      </w:r>
      <w:r w:rsidR="00191702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C17C03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C17C03">
        <w:rPr>
          <w:rFonts w:ascii="仿宋" w:eastAsia="仿宋" w:hAnsi="仿宋"/>
          <w:sz w:val="32"/>
          <w:szCs w:val="32"/>
        </w:rPr>
        <w:t>http://eid.csrc.gov.cn/fund</w:t>
      </w:r>
      <w:r w:rsidR="000F07E6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C17C03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C17C03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 w:rsidRPr="00C17C0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C17C03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17C03">
      <w:pPr>
        <w:spacing w:line="360" w:lineRule="auto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770637" w:rsidRPr="00770637">
        <w:rPr>
          <w:rFonts w:ascii="仿宋" w:eastAsia="仿宋" w:hAnsi="仿宋" w:hint="eastAsia"/>
          <w:color w:val="000000" w:themeColor="text1"/>
          <w:sz w:val="32"/>
          <w:szCs w:val="32"/>
        </w:rPr>
        <w:t>2021年1月21日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55" w:rsidRDefault="009C5255" w:rsidP="009A149B">
      <w:r>
        <w:separator/>
      </w:r>
    </w:p>
  </w:endnote>
  <w:endnote w:type="continuationSeparator" w:id="0">
    <w:p w:rsidR="009C5255" w:rsidRDefault="009C525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1B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0F9E" w:rsidRPr="00A40F9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1B6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0F9E" w:rsidRPr="00A40F9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55" w:rsidRDefault="009C5255" w:rsidP="009A149B">
      <w:r>
        <w:separator/>
      </w:r>
    </w:p>
  </w:footnote>
  <w:footnote w:type="continuationSeparator" w:id="0">
    <w:p w:rsidR="009C5255" w:rsidRDefault="009C525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39F6"/>
    <w:rsid w:val="00056EE0"/>
    <w:rsid w:val="00057323"/>
    <w:rsid w:val="00070BB8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63"/>
    <w:rsid w:val="0013251E"/>
    <w:rsid w:val="001445A9"/>
    <w:rsid w:val="00146307"/>
    <w:rsid w:val="001533B2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FA5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E212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42B2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82A"/>
    <w:rsid w:val="00641CEA"/>
    <w:rsid w:val="006420A1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637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2F3F"/>
    <w:rsid w:val="0092312D"/>
    <w:rsid w:val="00933628"/>
    <w:rsid w:val="009435C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C5255"/>
    <w:rsid w:val="009D7673"/>
    <w:rsid w:val="009E35EB"/>
    <w:rsid w:val="009E64F2"/>
    <w:rsid w:val="009E7875"/>
    <w:rsid w:val="009F72D1"/>
    <w:rsid w:val="00A144A6"/>
    <w:rsid w:val="00A21627"/>
    <w:rsid w:val="00A3160F"/>
    <w:rsid w:val="00A36CDE"/>
    <w:rsid w:val="00A37A94"/>
    <w:rsid w:val="00A40F9E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05A4"/>
    <w:rsid w:val="00AF7347"/>
    <w:rsid w:val="00B014DF"/>
    <w:rsid w:val="00B0693C"/>
    <w:rsid w:val="00B0709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813F1"/>
    <w:rsid w:val="00B91560"/>
    <w:rsid w:val="00B9364B"/>
    <w:rsid w:val="00B95F9A"/>
    <w:rsid w:val="00BA0E21"/>
    <w:rsid w:val="00BA1434"/>
    <w:rsid w:val="00BA3915"/>
    <w:rsid w:val="00BA3AE4"/>
    <w:rsid w:val="00BA698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C03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D7E63"/>
    <w:rsid w:val="00CE43F8"/>
    <w:rsid w:val="00CE7C8B"/>
    <w:rsid w:val="00CF01CC"/>
    <w:rsid w:val="00CF6D5C"/>
    <w:rsid w:val="00D10B1F"/>
    <w:rsid w:val="00D11E1F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27CD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20C92"/>
    <w:rsid w:val="00F25F52"/>
    <w:rsid w:val="00F419BC"/>
    <w:rsid w:val="00F469D5"/>
    <w:rsid w:val="00F479AE"/>
    <w:rsid w:val="00F47FEE"/>
    <w:rsid w:val="00F527B3"/>
    <w:rsid w:val="00F632AF"/>
    <w:rsid w:val="00F6382D"/>
    <w:rsid w:val="00F63F55"/>
    <w:rsid w:val="00F66378"/>
    <w:rsid w:val="00F71C51"/>
    <w:rsid w:val="00F77F4B"/>
    <w:rsid w:val="00F85FE2"/>
    <w:rsid w:val="00F9100C"/>
    <w:rsid w:val="00FA0934"/>
    <w:rsid w:val="00FA653D"/>
    <w:rsid w:val="00FB23EE"/>
    <w:rsid w:val="00FB355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6AC8-C8ED-44E5-89A1-82357D4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2733</Characters>
  <Application>Microsoft Office Word</Application>
  <DocSecurity>4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2021-01-20T16:21:00Z</dcterms:created>
  <dcterms:modified xsi:type="dcterms:W3CDTF">2021-01-20T16:21:00Z</dcterms:modified>
</cp:coreProperties>
</file>