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B" w:rsidRPr="00876915" w:rsidRDefault="0064484B" w:rsidP="0064484B">
      <w:pPr>
        <w:pStyle w:val="Default"/>
        <w:rPr>
          <w:sz w:val="32"/>
          <w:szCs w:val="32"/>
        </w:rPr>
      </w:pPr>
    </w:p>
    <w:p w:rsidR="0064484B" w:rsidRPr="00876915" w:rsidRDefault="00FD724E" w:rsidP="00BA7D0E">
      <w:pPr>
        <w:pStyle w:val="Default"/>
        <w:jc w:val="center"/>
        <w:rPr>
          <w:b/>
          <w:sz w:val="32"/>
          <w:szCs w:val="32"/>
        </w:rPr>
      </w:pPr>
      <w:r w:rsidRPr="00876915">
        <w:rPr>
          <w:rFonts w:hint="eastAsia"/>
          <w:b/>
          <w:sz w:val="32"/>
          <w:szCs w:val="32"/>
        </w:rPr>
        <w:t>海富通</w:t>
      </w:r>
      <w:r w:rsidR="0064484B" w:rsidRPr="00876915">
        <w:rPr>
          <w:rFonts w:hint="eastAsia"/>
          <w:b/>
          <w:sz w:val="32"/>
          <w:szCs w:val="32"/>
        </w:rPr>
        <w:t>基金管理有限公司关于</w:t>
      </w:r>
      <w:r w:rsidR="006D60C1" w:rsidRPr="00876915">
        <w:rPr>
          <w:rFonts w:hint="eastAsia"/>
          <w:b/>
          <w:sz w:val="32"/>
          <w:szCs w:val="32"/>
        </w:rPr>
        <w:t>海富通稳固收益债券型证券投资基金</w:t>
      </w:r>
      <w:r w:rsidR="001B35C2" w:rsidRPr="00876915">
        <w:rPr>
          <w:rFonts w:hint="eastAsia"/>
          <w:b/>
          <w:sz w:val="32"/>
          <w:szCs w:val="32"/>
        </w:rPr>
        <w:t>可投资科创板股票</w:t>
      </w:r>
      <w:r w:rsidR="005978FE" w:rsidRPr="00876915">
        <w:rPr>
          <w:rFonts w:hint="eastAsia"/>
          <w:b/>
          <w:sz w:val="32"/>
          <w:szCs w:val="32"/>
        </w:rPr>
        <w:t>及相关风险揭示</w:t>
      </w:r>
      <w:r w:rsidR="00BA7D0E" w:rsidRPr="00876915">
        <w:rPr>
          <w:rFonts w:hint="eastAsia"/>
          <w:b/>
          <w:sz w:val="32"/>
          <w:szCs w:val="32"/>
        </w:rPr>
        <w:t>的</w:t>
      </w:r>
      <w:r w:rsidR="0064484B" w:rsidRPr="00876915">
        <w:rPr>
          <w:rFonts w:hint="eastAsia"/>
          <w:b/>
          <w:sz w:val="32"/>
          <w:szCs w:val="32"/>
        </w:rPr>
        <w:t>公告</w:t>
      </w:r>
    </w:p>
    <w:p w:rsidR="00E6385F" w:rsidRPr="005978FE" w:rsidRDefault="00E6385F" w:rsidP="00BA7D0E">
      <w:pPr>
        <w:pStyle w:val="Default"/>
        <w:jc w:val="center"/>
        <w:rPr>
          <w:b/>
          <w:sz w:val="44"/>
          <w:szCs w:val="44"/>
        </w:rPr>
      </w:pPr>
      <w:bookmarkStart w:id="0" w:name="_GoBack"/>
      <w:bookmarkEnd w:id="0"/>
    </w:p>
    <w:p w:rsidR="0064484B" w:rsidRPr="00C33187" w:rsidRDefault="0064484B" w:rsidP="0064484B">
      <w:pPr>
        <w:pStyle w:val="Default"/>
      </w:pPr>
    </w:p>
    <w:p w:rsidR="003D1B4A" w:rsidRPr="00C33187" w:rsidRDefault="00BA7D0E" w:rsidP="0096537C">
      <w:pPr>
        <w:pStyle w:val="Default"/>
        <w:spacing w:line="360" w:lineRule="auto"/>
        <w:ind w:firstLineChars="200" w:firstLine="480"/>
      </w:pPr>
      <w:r w:rsidRPr="00C33187">
        <w:t>根据有关法律法规</w:t>
      </w:r>
      <w:r w:rsidR="00BD4029" w:rsidRPr="00C33187">
        <w:t>规定</w:t>
      </w:r>
      <w:r w:rsidRPr="00C33187">
        <w:t>和</w:t>
      </w:r>
      <w:r w:rsidR="00B2415D">
        <w:rPr>
          <w:rFonts w:hint="eastAsia"/>
        </w:rPr>
        <w:t>《</w:t>
      </w:r>
      <w:r w:rsidR="007B3FF7" w:rsidRPr="00C33187">
        <w:rPr>
          <w:rFonts w:hint="eastAsia"/>
        </w:rPr>
        <w:t>海富通稳固收益债券型证券投资基金</w:t>
      </w:r>
      <w:r w:rsidRPr="00C33187">
        <w:t>基金合同</w:t>
      </w:r>
      <w:r w:rsidR="00B2415D">
        <w:rPr>
          <w:rFonts w:hint="eastAsia"/>
        </w:rPr>
        <w:t>》</w:t>
      </w:r>
      <w:r w:rsidRPr="00C33187">
        <w:t>的</w:t>
      </w:r>
      <w:r w:rsidR="00BD4029" w:rsidRPr="00C33187">
        <w:t>约</w:t>
      </w:r>
      <w:r w:rsidRPr="00C33187">
        <w:t>定，</w:t>
      </w:r>
      <w:r w:rsidR="00FD724E" w:rsidRPr="00C33187">
        <w:rPr>
          <w:rFonts w:hint="eastAsia"/>
        </w:rPr>
        <w:t>海富通</w:t>
      </w:r>
      <w:r w:rsidRPr="00C33187">
        <w:t>基金管理有限公司（以下简称“</w:t>
      </w:r>
      <w:r w:rsidRPr="00C33187">
        <w:rPr>
          <w:rFonts w:hint="eastAsia"/>
        </w:rPr>
        <w:t>本公司</w:t>
      </w:r>
      <w:r w:rsidRPr="00C33187">
        <w:t>”</w:t>
      </w:r>
      <w:r w:rsidR="00471D32" w:rsidRPr="00C33187">
        <w:t>或</w:t>
      </w:r>
      <w:r w:rsidR="00471D32" w:rsidRPr="00C33187">
        <w:rPr>
          <w:rFonts w:hint="eastAsia"/>
        </w:rPr>
        <w:t>“基金管理人”</w:t>
      </w:r>
      <w:r w:rsidRPr="00C33187">
        <w:t>）</w:t>
      </w:r>
      <w:r w:rsidR="00F22648" w:rsidRPr="00C33187">
        <w:t>新增</w:t>
      </w:r>
      <w:r w:rsidRPr="00C33187">
        <w:t>旗下</w:t>
      </w:r>
      <w:r w:rsidR="00FE3A11" w:rsidRPr="00C33187">
        <w:rPr>
          <w:rFonts w:hint="eastAsia"/>
        </w:rPr>
        <w:t>海富通稳固收益债券型证券投资基金</w:t>
      </w:r>
      <w:r w:rsidR="006947AB" w:rsidRPr="00C33187">
        <w:rPr>
          <w:rFonts w:hint="eastAsia"/>
        </w:rPr>
        <w:t>（以下简称“本基金”）</w:t>
      </w:r>
      <w:r w:rsidR="001B35C2" w:rsidRPr="00C33187">
        <w:t>可投资科创板股票</w:t>
      </w:r>
      <w:r w:rsidR="003D1B4A" w:rsidRPr="00C33187">
        <w:rPr>
          <w:rFonts w:hint="eastAsia"/>
        </w:rPr>
        <w:t>。</w:t>
      </w:r>
    </w:p>
    <w:p w:rsidR="0096537C" w:rsidRPr="00C33187" w:rsidRDefault="00BA7D0E" w:rsidP="0096537C">
      <w:pPr>
        <w:pStyle w:val="Default"/>
        <w:spacing w:line="360" w:lineRule="auto"/>
        <w:ind w:firstLineChars="200" w:firstLine="480"/>
      </w:pPr>
      <w:r w:rsidRPr="00C33187">
        <w:t>现将有关</w:t>
      </w:r>
      <w:r w:rsidR="001B35C2" w:rsidRPr="00C33187">
        <w:rPr>
          <w:rFonts w:hint="eastAsia"/>
        </w:rPr>
        <w:t>情况</w:t>
      </w:r>
      <w:r w:rsidRPr="00C33187">
        <w:t xml:space="preserve">说明如下： </w:t>
      </w:r>
    </w:p>
    <w:p w:rsidR="001B35C2" w:rsidRPr="00C33187" w:rsidRDefault="0096537C" w:rsidP="0096537C">
      <w:pPr>
        <w:pStyle w:val="Default"/>
        <w:spacing w:line="360" w:lineRule="auto"/>
        <w:ind w:firstLine="420"/>
      </w:pPr>
      <w:r w:rsidRPr="00C33187">
        <w:rPr>
          <w:rFonts w:hint="eastAsia"/>
        </w:rPr>
        <w:t>1、</w:t>
      </w:r>
      <w:r w:rsidR="001B35C2" w:rsidRPr="00C33187">
        <w:rPr>
          <w:rFonts w:hint="eastAsia"/>
        </w:rPr>
        <w:t>科创板上市的股票是国内依法上市的股票，属于《基金法》第七十二条第一项规定的“上市交易的股票”</w:t>
      </w:r>
      <w:r w:rsidR="005978FE">
        <w:rPr>
          <w:rFonts w:hint="eastAsia"/>
        </w:rPr>
        <w:t>。</w:t>
      </w:r>
    </w:p>
    <w:p w:rsidR="00471D32" w:rsidRPr="00C33187" w:rsidRDefault="0096537C" w:rsidP="0096537C">
      <w:pPr>
        <w:pStyle w:val="Default"/>
        <w:spacing w:line="360" w:lineRule="auto"/>
        <w:ind w:firstLine="420"/>
      </w:pPr>
      <w:r w:rsidRPr="00C33187">
        <w:rPr>
          <w:rFonts w:hint="eastAsia"/>
        </w:rPr>
        <w:t>2、</w:t>
      </w:r>
      <w:r w:rsidR="00E871F3" w:rsidRPr="00C33187">
        <w:rPr>
          <w:rFonts w:hint="eastAsia"/>
        </w:rPr>
        <w:t>《</w:t>
      </w:r>
      <w:r w:rsidR="00EF1081" w:rsidRPr="00C33187">
        <w:rPr>
          <w:rFonts w:hint="eastAsia"/>
        </w:rPr>
        <w:t>海富通稳固收益债券型证券投资基金</w:t>
      </w:r>
      <w:r w:rsidR="001B35C2" w:rsidRPr="00C33187">
        <w:rPr>
          <w:rFonts w:hint="eastAsia"/>
        </w:rPr>
        <w:t>基金合同</w:t>
      </w:r>
      <w:r w:rsidR="00E871F3" w:rsidRPr="00C33187">
        <w:rPr>
          <w:rFonts w:hint="eastAsia"/>
        </w:rPr>
        <w:t>》</w:t>
      </w:r>
      <w:r w:rsidR="001B35C2" w:rsidRPr="00C33187">
        <w:rPr>
          <w:rFonts w:hint="eastAsia"/>
        </w:rPr>
        <w:t>中的投资范围中包括“股票”，</w:t>
      </w:r>
      <w:r w:rsidR="00471D32" w:rsidRPr="00C33187">
        <w:rPr>
          <w:rFonts w:hint="eastAsia"/>
        </w:rPr>
        <w:t>投资科创板股票符合</w:t>
      </w:r>
      <w:r w:rsidR="00F00F51" w:rsidRPr="00C33187">
        <w:rPr>
          <w:rFonts w:hint="eastAsia"/>
        </w:rPr>
        <w:t>本基金</w:t>
      </w:r>
      <w:r w:rsidR="001B35C2" w:rsidRPr="00C33187">
        <w:rPr>
          <w:rFonts w:hint="eastAsia"/>
        </w:rPr>
        <w:t>基金合同</w:t>
      </w:r>
      <w:r w:rsidR="00471D32" w:rsidRPr="00C33187">
        <w:rPr>
          <w:rFonts w:hint="eastAsia"/>
        </w:rPr>
        <w:t>所</w:t>
      </w:r>
      <w:r w:rsidR="00BD4029" w:rsidRPr="00C33187">
        <w:rPr>
          <w:rFonts w:hint="eastAsia"/>
        </w:rPr>
        <w:t>约</w:t>
      </w:r>
      <w:r w:rsidR="00471D32" w:rsidRPr="00C33187">
        <w:rPr>
          <w:rFonts w:hint="eastAsia"/>
        </w:rPr>
        <w:t>定的投资目标、投资策略、投资范围、资产配置比例、风险收益特征和相关风险控制指标。</w:t>
      </w:r>
    </w:p>
    <w:p w:rsidR="00471D32" w:rsidRPr="00C33187" w:rsidRDefault="00471D32" w:rsidP="0096537C">
      <w:pPr>
        <w:pStyle w:val="Default"/>
        <w:spacing w:line="360" w:lineRule="auto"/>
        <w:ind w:firstLine="420"/>
      </w:pPr>
      <w:r w:rsidRPr="00C33187">
        <w:rPr>
          <w:rFonts w:hint="eastAsia"/>
        </w:rPr>
        <w:t>3、基金管理人在投资科创板股票过程中，将根据审慎原则，保持</w:t>
      </w:r>
      <w:r w:rsidR="00585FF1">
        <w:rPr>
          <w:rFonts w:hint="eastAsia"/>
        </w:rPr>
        <w:t>本</w:t>
      </w:r>
      <w:r w:rsidRPr="00C33187">
        <w:rPr>
          <w:rFonts w:hint="eastAsia"/>
        </w:rPr>
        <w:t>基金投资风格的一致性，并做好流动性风险管理工作。</w:t>
      </w:r>
    </w:p>
    <w:p w:rsidR="00471D32" w:rsidRPr="00C33187" w:rsidRDefault="00CA676D" w:rsidP="007368E9">
      <w:pPr>
        <w:pStyle w:val="Default"/>
        <w:spacing w:line="360" w:lineRule="auto"/>
        <w:ind w:firstLineChars="200" w:firstLine="482"/>
        <w:rPr>
          <w:b/>
        </w:rPr>
      </w:pPr>
      <w:r w:rsidRPr="00C33187">
        <w:rPr>
          <w:b/>
        </w:rPr>
        <w:t>科创板股票具有下列投资风险</w:t>
      </w:r>
      <w:r w:rsidRPr="00C33187">
        <w:rPr>
          <w:rFonts w:hint="eastAsia"/>
          <w:b/>
        </w:rPr>
        <w:t>，</w:t>
      </w:r>
      <w:r w:rsidR="000C2E9D" w:rsidRPr="00C33187">
        <w:rPr>
          <w:b/>
        </w:rPr>
        <w:t>敬请</w:t>
      </w:r>
      <w:r w:rsidR="005978FE" w:rsidRPr="00876915">
        <w:rPr>
          <w:rFonts w:hint="eastAsia"/>
          <w:b/>
        </w:rPr>
        <w:t>海富通稳固收益债券型证券投资基金</w:t>
      </w:r>
      <w:r w:rsidRPr="00C33187">
        <w:rPr>
          <w:b/>
        </w:rPr>
        <w:t>投资者注意</w:t>
      </w:r>
      <w:r w:rsidR="000C2E9D" w:rsidRPr="00C33187">
        <w:rPr>
          <w:rFonts w:hint="eastAsia"/>
          <w:b/>
        </w:rPr>
        <w:t>：</w:t>
      </w:r>
    </w:p>
    <w:p w:rsidR="000C2E9D" w:rsidRPr="00C33187" w:rsidRDefault="000C2E9D" w:rsidP="007368E9">
      <w:pPr>
        <w:pStyle w:val="Default"/>
        <w:spacing w:line="360" w:lineRule="auto"/>
        <w:ind w:firstLineChars="200" w:firstLine="482"/>
        <w:rPr>
          <w:b/>
        </w:rPr>
      </w:pPr>
      <w:r w:rsidRPr="00C33187">
        <w:rPr>
          <w:rFonts w:hint="eastAsia"/>
          <w:b/>
        </w:rPr>
        <w:t>基金资产投资于科创板</w:t>
      </w:r>
      <w:r w:rsidR="00BD4029" w:rsidRPr="00C33187">
        <w:rPr>
          <w:rFonts w:hint="eastAsia"/>
          <w:b/>
        </w:rPr>
        <w:t>股票</w:t>
      </w:r>
      <w:r w:rsidRPr="00C33187">
        <w:rPr>
          <w:rFonts w:hint="eastAsia"/>
          <w:b/>
        </w:rPr>
        <w:t>，会面临科创板机制下因投资标的、市场制度以及交易规则等差异带来的特有风险，包括但不限于市场风险、流动性风险、信用风险、集中度风险、系统性风险、政策风险</w:t>
      </w:r>
      <w:r w:rsidR="00427416" w:rsidRPr="00C33187">
        <w:rPr>
          <w:rFonts w:hint="eastAsia"/>
          <w:b/>
        </w:rPr>
        <w:t>、退市风险</w:t>
      </w:r>
      <w:r w:rsidRPr="00C33187">
        <w:rPr>
          <w:rFonts w:hint="eastAsia"/>
          <w:b/>
        </w:rPr>
        <w:t>等。基金可根据投资策略需要或市场环境的变化，选择将部分基金资产投资于科创板</w:t>
      </w:r>
      <w:r w:rsidR="00BD4029" w:rsidRPr="00C33187">
        <w:rPr>
          <w:rFonts w:hint="eastAsia"/>
          <w:b/>
        </w:rPr>
        <w:t>股票</w:t>
      </w:r>
      <w:r w:rsidRPr="00C33187">
        <w:rPr>
          <w:rFonts w:hint="eastAsia"/>
          <w:b/>
        </w:rPr>
        <w:t>或选择不将基金资产投资于科创板</w:t>
      </w:r>
      <w:r w:rsidR="00BD4029" w:rsidRPr="00C33187">
        <w:rPr>
          <w:rFonts w:hint="eastAsia"/>
          <w:b/>
        </w:rPr>
        <w:t>股票</w:t>
      </w:r>
      <w:r w:rsidRPr="00C33187">
        <w:rPr>
          <w:rFonts w:hint="eastAsia"/>
          <w:b/>
        </w:rPr>
        <w:t>，基金资产并非必然投资于科创板</w:t>
      </w:r>
      <w:r w:rsidR="00BD4029" w:rsidRPr="00C33187">
        <w:rPr>
          <w:rFonts w:hint="eastAsia"/>
          <w:b/>
        </w:rPr>
        <w:t>股票</w:t>
      </w:r>
      <w:r w:rsidRPr="00C33187">
        <w:rPr>
          <w:rFonts w:hint="eastAsia"/>
          <w:b/>
        </w:rPr>
        <w:t>。</w:t>
      </w:r>
    </w:p>
    <w:p w:rsidR="000C2E9D" w:rsidRPr="00C33187" w:rsidRDefault="000C2E9D" w:rsidP="007368E9">
      <w:pPr>
        <w:pStyle w:val="Default"/>
        <w:spacing w:line="360" w:lineRule="auto"/>
        <w:ind w:firstLineChars="200" w:firstLine="482"/>
        <w:rPr>
          <w:b/>
        </w:rPr>
      </w:pPr>
      <w:r w:rsidRPr="00C33187">
        <w:rPr>
          <w:rFonts w:hint="eastAsia"/>
          <w:b/>
        </w:rPr>
        <w:t>投资科创板股票存在的风险包括</w:t>
      </w:r>
      <w:r w:rsidR="005978FE">
        <w:rPr>
          <w:rFonts w:hint="eastAsia"/>
          <w:b/>
        </w:rPr>
        <w:t>但不限于</w:t>
      </w:r>
      <w:r w:rsidRPr="00C33187">
        <w:rPr>
          <w:rFonts w:hint="eastAsia"/>
          <w:b/>
        </w:rPr>
        <w:t>：</w:t>
      </w:r>
    </w:p>
    <w:p w:rsidR="000C2E9D" w:rsidRPr="00C33187" w:rsidRDefault="000C2E9D" w:rsidP="00427416">
      <w:pPr>
        <w:pStyle w:val="Default"/>
        <w:numPr>
          <w:ilvl w:val="0"/>
          <w:numId w:val="14"/>
        </w:numPr>
        <w:spacing w:line="360" w:lineRule="auto"/>
        <w:rPr>
          <w:b/>
        </w:rPr>
      </w:pPr>
      <w:r w:rsidRPr="00C33187">
        <w:rPr>
          <w:rFonts w:hint="eastAsia"/>
          <w:b/>
        </w:rPr>
        <w:t>市场风险</w:t>
      </w:r>
    </w:p>
    <w:p w:rsidR="000C2E9D" w:rsidRPr="00C33187" w:rsidRDefault="000C2E9D" w:rsidP="007368E9">
      <w:pPr>
        <w:pStyle w:val="Default"/>
        <w:spacing w:line="360" w:lineRule="auto"/>
        <w:ind w:firstLineChars="200" w:firstLine="482"/>
        <w:rPr>
          <w:b/>
        </w:rPr>
      </w:pPr>
      <w:r w:rsidRPr="00C33187">
        <w:rPr>
          <w:rFonts w:hint="eastAsia"/>
          <w:b/>
        </w:rPr>
        <w:t>科创板个股集中来自新一代信息技术、高端装备、新材料、新能源、节能环保及生物医药等高新技术和战略新兴产业领域。大多数企业为初创型公司，</w:t>
      </w:r>
      <w:r w:rsidRPr="00C33187">
        <w:rPr>
          <w:rFonts w:hint="eastAsia"/>
          <w:b/>
        </w:rPr>
        <w:lastRenderedPageBreak/>
        <w:t>企业未来盈利、现金流、估值均存在不确定性，与传统二级市场投资存在差异，整体投资难度加大，个股市场风险加大。</w:t>
      </w:r>
    </w:p>
    <w:p w:rsidR="000C2E9D" w:rsidRPr="00C33187" w:rsidRDefault="000C2E9D" w:rsidP="007368E9">
      <w:pPr>
        <w:pStyle w:val="Default"/>
        <w:spacing w:line="360" w:lineRule="auto"/>
        <w:ind w:firstLineChars="200" w:firstLine="482"/>
        <w:rPr>
          <w:b/>
        </w:rPr>
      </w:pPr>
      <w:r w:rsidRPr="00C33187">
        <w:rPr>
          <w:rFonts w:hint="eastAsia"/>
          <w:b/>
        </w:rPr>
        <w:t>科创板个股上市前五日无涨跌停限制，第六日开始涨跌幅限制在正负20%以内，个股波动幅度较其他股票加大，市场风险随之上升。</w:t>
      </w:r>
    </w:p>
    <w:p w:rsidR="000C2E9D" w:rsidRPr="00C33187" w:rsidRDefault="000C2E9D" w:rsidP="007368E9">
      <w:pPr>
        <w:pStyle w:val="Default"/>
        <w:spacing w:line="360" w:lineRule="auto"/>
        <w:ind w:firstLineChars="200" w:firstLine="482"/>
        <w:rPr>
          <w:b/>
        </w:rPr>
      </w:pPr>
      <w:r w:rsidRPr="00C33187">
        <w:rPr>
          <w:rFonts w:hint="eastAsia"/>
          <w:b/>
        </w:rPr>
        <w:t>②流动性风险</w:t>
      </w:r>
    </w:p>
    <w:p w:rsidR="000C2E9D" w:rsidRPr="00C33187" w:rsidRDefault="000C2E9D" w:rsidP="007368E9">
      <w:pPr>
        <w:pStyle w:val="Default"/>
        <w:spacing w:line="360" w:lineRule="auto"/>
        <w:ind w:firstLineChars="200" w:firstLine="482"/>
        <w:rPr>
          <w:b/>
        </w:rPr>
      </w:pPr>
      <w:r w:rsidRPr="00C33187">
        <w:rPr>
          <w:rFonts w:hint="eastAsia"/>
          <w:b/>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0C2E9D" w:rsidRPr="00C33187" w:rsidRDefault="000C2E9D" w:rsidP="007368E9">
      <w:pPr>
        <w:pStyle w:val="Default"/>
        <w:spacing w:line="360" w:lineRule="auto"/>
        <w:ind w:firstLineChars="200" w:firstLine="482"/>
        <w:rPr>
          <w:b/>
        </w:rPr>
      </w:pPr>
      <w:r w:rsidRPr="00C33187">
        <w:rPr>
          <w:rFonts w:hint="eastAsia"/>
          <w:b/>
        </w:rPr>
        <w:t>③信用风险</w:t>
      </w:r>
    </w:p>
    <w:p w:rsidR="000C2E9D" w:rsidRPr="00C33187" w:rsidRDefault="000C2E9D" w:rsidP="007368E9">
      <w:pPr>
        <w:pStyle w:val="Default"/>
        <w:spacing w:line="360" w:lineRule="auto"/>
        <w:ind w:firstLineChars="200" w:firstLine="482"/>
        <w:rPr>
          <w:b/>
        </w:rPr>
      </w:pPr>
      <w:r w:rsidRPr="00C33187">
        <w:rPr>
          <w:rFonts w:hint="eastAsia"/>
          <w:b/>
        </w:rPr>
        <w:t>科创板试点注册制，对经营状况不佳或财务数据造假的企业实行严格的退市制度，科创板个股存在退市风险。</w:t>
      </w:r>
    </w:p>
    <w:p w:rsidR="000C2E9D" w:rsidRPr="00C33187" w:rsidRDefault="000C2E9D" w:rsidP="007368E9">
      <w:pPr>
        <w:pStyle w:val="Default"/>
        <w:spacing w:line="360" w:lineRule="auto"/>
        <w:ind w:firstLineChars="200" w:firstLine="482"/>
        <w:rPr>
          <w:b/>
        </w:rPr>
      </w:pPr>
      <w:r w:rsidRPr="00C33187">
        <w:rPr>
          <w:rFonts w:hint="eastAsia"/>
          <w:b/>
        </w:rPr>
        <w:t>④集中度风险</w:t>
      </w:r>
    </w:p>
    <w:p w:rsidR="000C2E9D" w:rsidRPr="00C33187" w:rsidRDefault="000C2E9D" w:rsidP="007368E9">
      <w:pPr>
        <w:pStyle w:val="Default"/>
        <w:spacing w:line="360" w:lineRule="auto"/>
        <w:ind w:firstLineChars="200" w:firstLine="482"/>
        <w:rPr>
          <w:b/>
        </w:rPr>
      </w:pPr>
      <w:r w:rsidRPr="00C33187">
        <w:rPr>
          <w:rFonts w:hint="eastAsia"/>
          <w:b/>
        </w:rPr>
        <w:t>科创板为新设板块，初期可投标的较少，投资者容易集中投资于少量个股，市场可能存在高集中度状况，整体存在集中度风险。</w:t>
      </w:r>
    </w:p>
    <w:p w:rsidR="000C2E9D" w:rsidRPr="00C33187" w:rsidRDefault="000C2E9D" w:rsidP="007368E9">
      <w:pPr>
        <w:pStyle w:val="Default"/>
        <w:spacing w:line="360" w:lineRule="auto"/>
        <w:ind w:firstLineChars="200" w:firstLine="482"/>
        <w:rPr>
          <w:b/>
        </w:rPr>
      </w:pPr>
      <w:r w:rsidRPr="00C33187">
        <w:rPr>
          <w:rFonts w:hint="eastAsia"/>
          <w:b/>
        </w:rPr>
        <w:t>⑤系统性风险</w:t>
      </w:r>
    </w:p>
    <w:p w:rsidR="000C2E9D" w:rsidRPr="00C33187" w:rsidRDefault="000C2E9D" w:rsidP="007368E9">
      <w:pPr>
        <w:pStyle w:val="Default"/>
        <w:spacing w:line="360" w:lineRule="auto"/>
        <w:ind w:firstLineChars="200" w:firstLine="482"/>
        <w:rPr>
          <w:b/>
        </w:rPr>
      </w:pPr>
      <w:r w:rsidRPr="00C33187">
        <w:rPr>
          <w:rFonts w:hint="eastAsia"/>
          <w:b/>
        </w:rPr>
        <w:t>科创板企业均为市场认可度较高的科技创新企业，在企业经营及盈利模式上存在趋同，所以科创板个股相关性较高，市场表现不佳时，系统性风险将更为显著。</w:t>
      </w:r>
    </w:p>
    <w:p w:rsidR="000C2E9D" w:rsidRPr="00C33187" w:rsidRDefault="000C2E9D" w:rsidP="007368E9">
      <w:pPr>
        <w:pStyle w:val="Default"/>
        <w:spacing w:line="360" w:lineRule="auto"/>
        <w:ind w:firstLineChars="200" w:firstLine="482"/>
        <w:rPr>
          <w:b/>
        </w:rPr>
      </w:pPr>
      <w:r w:rsidRPr="00C33187">
        <w:rPr>
          <w:rFonts w:hint="eastAsia"/>
          <w:b/>
        </w:rPr>
        <w:t>⑥政策风险</w:t>
      </w:r>
    </w:p>
    <w:p w:rsidR="00471D32" w:rsidRPr="00C33187" w:rsidRDefault="000C2E9D" w:rsidP="007368E9">
      <w:pPr>
        <w:pStyle w:val="Default"/>
        <w:spacing w:line="360" w:lineRule="auto"/>
        <w:ind w:firstLineChars="200" w:firstLine="482"/>
        <w:rPr>
          <w:b/>
        </w:rPr>
      </w:pPr>
      <w:r w:rsidRPr="00C33187">
        <w:rPr>
          <w:rFonts w:hint="eastAsia"/>
          <w:b/>
        </w:rPr>
        <w:t>国家对高新技术产业扶持力度及重视程度的变化会对科创板企业带来较大影响，国际经济形势变化对战略新兴产业及科创板个股也会带来政策影响。</w:t>
      </w:r>
    </w:p>
    <w:p w:rsidR="00427416" w:rsidRPr="00C33187" w:rsidRDefault="00427416" w:rsidP="00427416">
      <w:pPr>
        <w:spacing w:line="360" w:lineRule="auto"/>
        <w:ind w:firstLineChars="200" w:firstLine="422"/>
        <w:rPr>
          <w:rFonts w:ascii="宋体" w:hAnsi="宋体"/>
          <w:b/>
          <w:sz w:val="24"/>
        </w:rPr>
      </w:pPr>
      <w:r w:rsidRPr="00C33187">
        <w:rPr>
          <w:rFonts w:hint="eastAsia"/>
          <w:b/>
        </w:rPr>
        <w:t>⑦</w:t>
      </w:r>
      <w:r w:rsidRPr="00C33187">
        <w:rPr>
          <w:rFonts w:ascii="宋体" w:hAnsi="宋体"/>
          <w:b/>
          <w:sz w:val="24"/>
        </w:rPr>
        <w:t>退市风险</w:t>
      </w:r>
    </w:p>
    <w:p w:rsidR="00427416" w:rsidRPr="00C33187" w:rsidRDefault="00427416" w:rsidP="00427416">
      <w:pPr>
        <w:spacing w:line="360" w:lineRule="auto"/>
        <w:ind w:firstLineChars="200" w:firstLine="482"/>
        <w:rPr>
          <w:rFonts w:ascii="宋体" w:hAnsi="宋体"/>
          <w:b/>
          <w:sz w:val="24"/>
        </w:rPr>
      </w:pPr>
      <w:r w:rsidRPr="00C33187">
        <w:rPr>
          <w:rFonts w:ascii="宋体" w:hAnsi="宋体" w:hint="eastAsia"/>
          <w:b/>
          <w:sz w:val="24"/>
        </w:rPr>
        <w:t>科创板</w:t>
      </w:r>
      <w:r w:rsidRPr="00C33187">
        <w:rPr>
          <w:rFonts w:ascii="宋体" w:hAnsi="宋体"/>
          <w:b/>
          <w:sz w:val="24"/>
        </w:rPr>
        <w:t>上市公司退市制度设计较主板市场更为严格</w:t>
      </w:r>
      <w:r w:rsidRPr="00C33187">
        <w:rPr>
          <w:rFonts w:ascii="宋体" w:hAnsi="宋体" w:hint="eastAsia"/>
          <w:b/>
          <w:sz w:val="24"/>
        </w:rPr>
        <w:t>、</w:t>
      </w:r>
      <w:r w:rsidRPr="00C33187">
        <w:rPr>
          <w:rFonts w:ascii="宋体" w:hAnsi="宋体"/>
          <w:b/>
          <w:sz w:val="24"/>
        </w:rPr>
        <w:t>退市时间更短</w:t>
      </w:r>
      <w:r w:rsidRPr="00C33187">
        <w:rPr>
          <w:rFonts w:ascii="宋体" w:hAnsi="宋体" w:hint="eastAsia"/>
          <w:b/>
          <w:sz w:val="24"/>
        </w:rPr>
        <w:t>、</w:t>
      </w:r>
      <w:r w:rsidRPr="00C33187">
        <w:rPr>
          <w:rFonts w:ascii="宋体" w:hAnsi="宋体"/>
          <w:b/>
          <w:sz w:val="24"/>
        </w:rPr>
        <w:t>退市速度更快</w:t>
      </w:r>
      <w:r w:rsidRPr="00C33187">
        <w:rPr>
          <w:rFonts w:ascii="宋体" w:hAnsi="宋体" w:hint="eastAsia"/>
          <w:b/>
          <w:sz w:val="24"/>
        </w:rPr>
        <w:t>，</w:t>
      </w:r>
      <w:r w:rsidRPr="00C33187">
        <w:rPr>
          <w:rFonts w:ascii="宋体" w:hAnsi="宋体"/>
          <w:b/>
          <w:sz w:val="24"/>
        </w:rPr>
        <w:t>与主板市场相比，可能导致科创板市场上市公司退市的情形更多，退市速度可能更快，退市以后可能面临股票无法交易的情况，购买该公司股票的投资人将可能面临本金全部损失的风险。</w:t>
      </w:r>
    </w:p>
    <w:p w:rsidR="004B0D7D" w:rsidRPr="00C33187" w:rsidRDefault="0096537C" w:rsidP="0096537C">
      <w:pPr>
        <w:pStyle w:val="Default"/>
        <w:spacing w:line="360" w:lineRule="auto"/>
        <w:ind w:firstLineChars="200" w:firstLine="480"/>
      </w:pPr>
      <w:r w:rsidRPr="00C33187">
        <w:rPr>
          <w:rFonts w:hint="eastAsia"/>
        </w:rPr>
        <w:t>基金管理人将</w:t>
      </w:r>
      <w:r w:rsidR="007269F7" w:rsidRPr="00C33187">
        <w:rPr>
          <w:rFonts w:hint="eastAsia"/>
          <w:szCs w:val="21"/>
        </w:rPr>
        <w:t>在</w:t>
      </w:r>
      <w:r w:rsidR="007269F7" w:rsidRPr="00C33187">
        <w:rPr>
          <w:rFonts w:hint="eastAsia"/>
        </w:rPr>
        <w:t>海富通稳固收益债券型证券投资基金</w:t>
      </w:r>
      <w:r w:rsidR="003E3BCB" w:rsidRPr="00C33187">
        <w:rPr>
          <w:rFonts w:hint="eastAsia"/>
        </w:rPr>
        <w:t>的招募说明书</w:t>
      </w:r>
      <w:r w:rsidRPr="00C33187">
        <w:rPr>
          <w:rFonts w:hint="eastAsia"/>
        </w:rPr>
        <w:t>中相应调整</w:t>
      </w:r>
      <w:r w:rsidR="003B66E5" w:rsidRPr="00C33187">
        <w:rPr>
          <w:rFonts w:hint="eastAsia"/>
        </w:rPr>
        <w:t>重要提示及风险揭示</w:t>
      </w:r>
      <w:r w:rsidR="004B0D7D" w:rsidRPr="00C33187">
        <w:rPr>
          <w:rFonts w:hint="eastAsia"/>
        </w:rPr>
        <w:t>章节</w:t>
      </w:r>
      <w:r w:rsidR="003E3BCB" w:rsidRPr="00C33187">
        <w:rPr>
          <w:rFonts w:hint="eastAsia"/>
        </w:rPr>
        <w:t>，并</w:t>
      </w:r>
      <w:r w:rsidR="003E3BCB" w:rsidRPr="00876915">
        <w:rPr>
          <w:rFonts w:hint="eastAsia"/>
        </w:rPr>
        <w:t>依照《公开募集证券投资基金信息披露管理办</w:t>
      </w:r>
      <w:r w:rsidR="003E3BCB" w:rsidRPr="00876915">
        <w:rPr>
          <w:rFonts w:hint="eastAsia"/>
        </w:rPr>
        <w:lastRenderedPageBreak/>
        <w:t>法》的有关规定在规定媒介上公告。</w:t>
      </w:r>
    </w:p>
    <w:p w:rsidR="0096537C" w:rsidRPr="00C33187" w:rsidRDefault="004B0D7D" w:rsidP="0096537C">
      <w:pPr>
        <w:pStyle w:val="Default"/>
        <w:spacing w:line="360" w:lineRule="auto"/>
        <w:ind w:firstLineChars="200" w:firstLine="480"/>
      </w:pPr>
      <w:r w:rsidRPr="00C33187">
        <w:rPr>
          <w:rFonts w:hint="eastAsia"/>
        </w:rPr>
        <w:t>本公司承诺以诚实信用、勤勉尽责的原则管理和运用基金资产，但不保证基金一定盈利，也不保证最低收益，敬请投资人注意投资风险。</w:t>
      </w:r>
      <w:r w:rsidR="0096537C" w:rsidRPr="00C33187">
        <w:rPr>
          <w:rFonts w:hint="eastAsia"/>
        </w:rPr>
        <w:t>投资者在办理基金</w:t>
      </w:r>
      <w:r w:rsidRPr="00C33187">
        <w:rPr>
          <w:rFonts w:hint="eastAsia"/>
        </w:rPr>
        <w:t>申购、</w:t>
      </w:r>
      <w:r w:rsidR="0096537C" w:rsidRPr="00C33187">
        <w:rPr>
          <w:rFonts w:hint="eastAsia"/>
        </w:rPr>
        <w:t>交易等相关业务前，应仔细阅读</w:t>
      </w:r>
      <w:r w:rsidR="00B72030" w:rsidRPr="00C33187">
        <w:rPr>
          <w:rFonts w:hint="eastAsia"/>
        </w:rPr>
        <w:t>本</w:t>
      </w:r>
      <w:r w:rsidR="0096537C" w:rsidRPr="00C33187">
        <w:rPr>
          <w:rFonts w:hint="eastAsia"/>
        </w:rPr>
        <w:t>基金的基金合同、招募说明书</w:t>
      </w:r>
      <w:r w:rsidRPr="00C33187">
        <w:rPr>
          <w:rFonts w:hint="eastAsia"/>
        </w:rPr>
        <w:t>（更新）</w:t>
      </w:r>
      <w:r w:rsidR="003B2B87">
        <w:rPr>
          <w:rFonts w:hint="eastAsia"/>
        </w:rPr>
        <w:t>、产品资料概要</w:t>
      </w:r>
      <w:r w:rsidR="0096537C" w:rsidRPr="00C33187">
        <w:rPr>
          <w:rFonts w:hint="eastAsia"/>
        </w:rPr>
        <w:t>等</w:t>
      </w:r>
      <w:r w:rsidR="007B4D2A">
        <w:rPr>
          <w:rFonts w:hint="eastAsia"/>
        </w:rPr>
        <w:t>法律</w:t>
      </w:r>
      <w:r w:rsidR="0096537C" w:rsidRPr="00C33187">
        <w:rPr>
          <w:rFonts w:hint="eastAsia"/>
        </w:rPr>
        <w:t>文件</w:t>
      </w:r>
      <w:r w:rsidR="007B4D2A">
        <w:rPr>
          <w:rFonts w:hint="eastAsia"/>
        </w:rPr>
        <w:t>，</w:t>
      </w:r>
      <w:r w:rsidR="007B4D2A" w:rsidRPr="00876915">
        <w:t>全面认识</w:t>
      </w:r>
      <w:r w:rsidR="007B4D2A" w:rsidRPr="00876915">
        <w:rPr>
          <w:rFonts w:hint="eastAsia"/>
        </w:rPr>
        <w:t>本</w:t>
      </w:r>
      <w:r w:rsidR="007B4D2A" w:rsidRPr="00876915">
        <w:t>基金产品的风险收益特征</w:t>
      </w:r>
      <w:r w:rsidR="007B4D2A" w:rsidRPr="00876915">
        <w:rPr>
          <w:rFonts w:hint="eastAsia"/>
        </w:rPr>
        <w:t>，</w:t>
      </w:r>
      <w:r w:rsidR="007B4D2A" w:rsidRPr="00876915">
        <w:t>在了解产品情况及听取销售机构适当性意见的基础上，根据自身的风险承受能力、投资期限和投资目标，作出独立决策。</w:t>
      </w:r>
    </w:p>
    <w:p w:rsidR="00C33187" w:rsidRPr="007B4D2A" w:rsidRDefault="00C33187" w:rsidP="0096537C">
      <w:pPr>
        <w:pStyle w:val="Default"/>
        <w:spacing w:line="360" w:lineRule="auto"/>
        <w:ind w:firstLineChars="200" w:firstLine="480"/>
      </w:pPr>
    </w:p>
    <w:p w:rsidR="00610801" w:rsidRDefault="00BA7D0E" w:rsidP="00610801">
      <w:pPr>
        <w:pStyle w:val="Default"/>
        <w:spacing w:line="360" w:lineRule="auto"/>
        <w:ind w:firstLineChars="200" w:firstLine="480"/>
      </w:pPr>
      <w:r w:rsidRPr="00C33187">
        <w:t>特此公告</w:t>
      </w:r>
      <w:r w:rsidR="003F56CC" w:rsidRPr="00C33187">
        <w:t>。</w:t>
      </w:r>
    </w:p>
    <w:p w:rsidR="007B4D2A" w:rsidRPr="00C33187" w:rsidRDefault="007B4D2A" w:rsidP="00610801">
      <w:pPr>
        <w:pStyle w:val="Default"/>
        <w:spacing w:line="360" w:lineRule="auto"/>
        <w:ind w:firstLineChars="200" w:firstLine="480"/>
      </w:pPr>
    </w:p>
    <w:p w:rsidR="0096537C" w:rsidRPr="00C33187" w:rsidRDefault="0096537C" w:rsidP="00610801">
      <w:pPr>
        <w:pStyle w:val="Default"/>
        <w:spacing w:line="360" w:lineRule="auto"/>
        <w:ind w:firstLineChars="200" w:firstLine="480"/>
        <w:jc w:val="right"/>
      </w:pPr>
    </w:p>
    <w:p w:rsidR="00610801" w:rsidRPr="00C33187" w:rsidRDefault="00DF2828" w:rsidP="00610801">
      <w:pPr>
        <w:pStyle w:val="Default"/>
        <w:spacing w:line="360" w:lineRule="auto"/>
        <w:ind w:firstLineChars="200" w:firstLine="480"/>
        <w:jc w:val="right"/>
      </w:pPr>
      <w:r w:rsidRPr="00C33187">
        <w:rPr>
          <w:rFonts w:hint="eastAsia"/>
        </w:rPr>
        <w:t>海富通</w:t>
      </w:r>
      <w:r w:rsidR="00BA7D0E" w:rsidRPr="00C33187">
        <w:t>基金管理有限公司</w:t>
      </w:r>
    </w:p>
    <w:p w:rsidR="00BA7D0E" w:rsidRDefault="00C33187" w:rsidP="00610801">
      <w:pPr>
        <w:pStyle w:val="Default"/>
        <w:spacing w:line="360" w:lineRule="auto"/>
        <w:ind w:firstLineChars="200" w:firstLine="480"/>
        <w:jc w:val="right"/>
      </w:pPr>
      <w:r w:rsidRPr="00C33187">
        <w:rPr>
          <w:rFonts w:hint="eastAsia"/>
        </w:rPr>
        <w:t>2021</w:t>
      </w:r>
      <w:r w:rsidR="00610801" w:rsidRPr="00C33187">
        <w:rPr>
          <w:rFonts w:hint="eastAsia"/>
        </w:rPr>
        <w:t>年</w:t>
      </w:r>
      <w:r w:rsidRPr="00C33187">
        <w:rPr>
          <w:rFonts w:hint="eastAsia"/>
        </w:rPr>
        <w:t>1</w:t>
      </w:r>
      <w:r w:rsidR="00610801" w:rsidRPr="00C33187">
        <w:rPr>
          <w:rFonts w:hint="eastAsia"/>
        </w:rPr>
        <w:t>月</w:t>
      </w:r>
      <w:r w:rsidR="00876915" w:rsidRPr="00C33187">
        <w:rPr>
          <w:rFonts w:hint="eastAsia"/>
        </w:rPr>
        <w:t>2</w:t>
      </w:r>
      <w:r w:rsidR="00876915">
        <w:rPr>
          <w:rFonts w:hint="eastAsia"/>
        </w:rPr>
        <w:t>1</w:t>
      </w:r>
      <w:r w:rsidR="00610801" w:rsidRPr="00C33187">
        <w:rPr>
          <w:rFonts w:hint="eastAsia"/>
        </w:rPr>
        <w:t>日</w:t>
      </w:r>
    </w:p>
    <w:p w:rsidR="003D1B4A" w:rsidRPr="005929E2" w:rsidRDefault="003D1B4A" w:rsidP="00C33187">
      <w:pPr>
        <w:pStyle w:val="Default"/>
        <w:widowControl/>
        <w:autoSpaceDE/>
        <w:autoSpaceDN/>
        <w:adjustRightInd/>
      </w:pPr>
    </w:p>
    <w:sectPr w:rsidR="003D1B4A" w:rsidRPr="005929E2" w:rsidSect="003D6F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23" w:rsidRDefault="00A81723" w:rsidP="00081DC6">
      <w:r>
        <w:separator/>
      </w:r>
    </w:p>
  </w:endnote>
  <w:endnote w:type="continuationSeparator" w:id="0">
    <w:p w:rsidR="00A81723" w:rsidRDefault="00A81723" w:rsidP="0008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enQuanYiZen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23" w:rsidRDefault="00A81723" w:rsidP="00081DC6">
      <w:r>
        <w:separator/>
      </w:r>
    </w:p>
  </w:footnote>
  <w:footnote w:type="continuationSeparator" w:id="0">
    <w:p w:rsidR="00A81723" w:rsidRDefault="00A81723" w:rsidP="0008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34C"/>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C155D8"/>
    <w:multiLevelType w:val="hybridMultilevel"/>
    <w:tmpl w:val="73981138"/>
    <w:lvl w:ilvl="0" w:tplc="8BF6C8F0">
      <w:start w:val="1"/>
      <w:numFmt w:val="none"/>
      <w:lvlText w:val="一、"/>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3528726A"/>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68477E"/>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1C7684"/>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D612D5"/>
    <w:multiLevelType w:val="hybridMultilevel"/>
    <w:tmpl w:val="02ACBC20"/>
    <w:lvl w:ilvl="0" w:tplc="42A89BEA">
      <w:start w:val="1"/>
      <w:numFmt w:val="japaneseCounting"/>
      <w:lvlText w:val="%1、"/>
      <w:lvlJc w:val="left"/>
      <w:pPr>
        <w:ind w:left="763" w:hanging="4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587F5328"/>
    <w:multiLevelType w:val="hybridMultilevel"/>
    <w:tmpl w:val="92FC58A8"/>
    <w:lvl w:ilvl="0" w:tplc="9C060F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3E1789"/>
    <w:multiLevelType w:val="hybridMultilevel"/>
    <w:tmpl w:val="62469B08"/>
    <w:lvl w:ilvl="0" w:tplc="F558C13A">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63F037B9"/>
    <w:multiLevelType w:val="hybridMultilevel"/>
    <w:tmpl w:val="9206552C"/>
    <w:lvl w:ilvl="0" w:tplc="D1869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B52772"/>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6044FF"/>
    <w:multiLevelType w:val="hybridMultilevel"/>
    <w:tmpl w:val="51605B9E"/>
    <w:lvl w:ilvl="0" w:tplc="B72C822C">
      <w:start w:val="1"/>
      <w:numFmt w:val="japaneseCounting"/>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E92A4B"/>
    <w:multiLevelType w:val="hybridMultilevel"/>
    <w:tmpl w:val="26003F46"/>
    <w:lvl w:ilvl="0" w:tplc="BEDC95D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4B679A"/>
    <w:multiLevelType w:val="hybridMultilevel"/>
    <w:tmpl w:val="B58097E0"/>
    <w:lvl w:ilvl="0" w:tplc="9594F12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9E81393"/>
    <w:multiLevelType w:val="hybridMultilevel"/>
    <w:tmpl w:val="7DD490D8"/>
    <w:lvl w:ilvl="0" w:tplc="865CFAB4">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9"/>
  </w:num>
  <w:num w:numId="5">
    <w:abstractNumId w:val="5"/>
  </w:num>
  <w:num w:numId="6">
    <w:abstractNumId w:val="11"/>
  </w:num>
  <w:num w:numId="7">
    <w:abstractNumId w:val="1"/>
  </w:num>
  <w:num w:numId="8">
    <w:abstractNumId w:val="2"/>
  </w:num>
  <w:num w:numId="9">
    <w:abstractNumId w:val="0"/>
  </w:num>
  <w:num w:numId="10">
    <w:abstractNumId w:val="3"/>
  </w:num>
  <w:num w:numId="11">
    <w:abstractNumId w:val="4"/>
  </w:num>
  <w:num w:numId="12">
    <w:abstractNumId w:val="1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3AD"/>
    <w:rsid w:val="000341BB"/>
    <w:rsid w:val="00043DB8"/>
    <w:rsid w:val="00070FDB"/>
    <w:rsid w:val="0007650D"/>
    <w:rsid w:val="00081DC6"/>
    <w:rsid w:val="000C2E9D"/>
    <w:rsid w:val="000D605E"/>
    <w:rsid w:val="000F7008"/>
    <w:rsid w:val="001365A1"/>
    <w:rsid w:val="00142B4B"/>
    <w:rsid w:val="00145E3C"/>
    <w:rsid w:val="00157CF1"/>
    <w:rsid w:val="00183C72"/>
    <w:rsid w:val="001B35C2"/>
    <w:rsid w:val="001D0C99"/>
    <w:rsid w:val="00280F92"/>
    <w:rsid w:val="00295F52"/>
    <w:rsid w:val="002A49D5"/>
    <w:rsid w:val="002F1F6F"/>
    <w:rsid w:val="00353ECB"/>
    <w:rsid w:val="00367302"/>
    <w:rsid w:val="00371CE0"/>
    <w:rsid w:val="0038044F"/>
    <w:rsid w:val="003B2B87"/>
    <w:rsid w:val="003B66E5"/>
    <w:rsid w:val="003D1B4A"/>
    <w:rsid w:val="003D6F5F"/>
    <w:rsid w:val="003D7672"/>
    <w:rsid w:val="003E3BCB"/>
    <w:rsid w:val="003F56CC"/>
    <w:rsid w:val="00427416"/>
    <w:rsid w:val="00446275"/>
    <w:rsid w:val="00451E68"/>
    <w:rsid w:val="00454C19"/>
    <w:rsid w:val="00454DFA"/>
    <w:rsid w:val="004654EE"/>
    <w:rsid w:val="00471D32"/>
    <w:rsid w:val="004B0D7D"/>
    <w:rsid w:val="004C1AD6"/>
    <w:rsid w:val="004C2C81"/>
    <w:rsid w:val="004D3636"/>
    <w:rsid w:val="004F0AA9"/>
    <w:rsid w:val="00507A8A"/>
    <w:rsid w:val="00585FF1"/>
    <w:rsid w:val="005929E2"/>
    <w:rsid w:val="005978FE"/>
    <w:rsid w:val="005B7E24"/>
    <w:rsid w:val="005F454F"/>
    <w:rsid w:val="005F724D"/>
    <w:rsid w:val="00604443"/>
    <w:rsid w:val="00610801"/>
    <w:rsid w:val="00624ED8"/>
    <w:rsid w:val="0064484B"/>
    <w:rsid w:val="006525E3"/>
    <w:rsid w:val="0066291E"/>
    <w:rsid w:val="00677252"/>
    <w:rsid w:val="006947AB"/>
    <w:rsid w:val="006A5EB3"/>
    <w:rsid w:val="006D60C1"/>
    <w:rsid w:val="006E23E6"/>
    <w:rsid w:val="006F0C3F"/>
    <w:rsid w:val="007269F7"/>
    <w:rsid w:val="007368E9"/>
    <w:rsid w:val="00742224"/>
    <w:rsid w:val="00760447"/>
    <w:rsid w:val="00784D22"/>
    <w:rsid w:val="00786D2A"/>
    <w:rsid w:val="007A2A93"/>
    <w:rsid w:val="007B3FF7"/>
    <w:rsid w:val="007B4D2A"/>
    <w:rsid w:val="007C06D3"/>
    <w:rsid w:val="007C3B2C"/>
    <w:rsid w:val="007F0EC4"/>
    <w:rsid w:val="008223AD"/>
    <w:rsid w:val="0085657E"/>
    <w:rsid w:val="00876915"/>
    <w:rsid w:val="008971ED"/>
    <w:rsid w:val="008C2375"/>
    <w:rsid w:val="00920A69"/>
    <w:rsid w:val="0095126F"/>
    <w:rsid w:val="0096537C"/>
    <w:rsid w:val="00990EB9"/>
    <w:rsid w:val="009E5CC0"/>
    <w:rsid w:val="009F3CD0"/>
    <w:rsid w:val="00A00EDF"/>
    <w:rsid w:val="00A1084B"/>
    <w:rsid w:val="00A74EC6"/>
    <w:rsid w:val="00A81723"/>
    <w:rsid w:val="00AB5606"/>
    <w:rsid w:val="00AE69F8"/>
    <w:rsid w:val="00B2415D"/>
    <w:rsid w:val="00B53E8A"/>
    <w:rsid w:val="00B72030"/>
    <w:rsid w:val="00B81C6D"/>
    <w:rsid w:val="00B94B29"/>
    <w:rsid w:val="00BA7D0E"/>
    <w:rsid w:val="00BD4029"/>
    <w:rsid w:val="00BD4E3C"/>
    <w:rsid w:val="00BD5B88"/>
    <w:rsid w:val="00BF7962"/>
    <w:rsid w:val="00C33187"/>
    <w:rsid w:val="00C65AC4"/>
    <w:rsid w:val="00CA3BD5"/>
    <w:rsid w:val="00CA676D"/>
    <w:rsid w:val="00CD4709"/>
    <w:rsid w:val="00CF56A5"/>
    <w:rsid w:val="00D417D1"/>
    <w:rsid w:val="00DA5135"/>
    <w:rsid w:val="00DB0FDA"/>
    <w:rsid w:val="00DC63E9"/>
    <w:rsid w:val="00DF2828"/>
    <w:rsid w:val="00E05B7D"/>
    <w:rsid w:val="00E320AE"/>
    <w:rsid w:val="00E35AD0"/>
    <w:rsid w:val="00E6385F"/>
    <w:rsid w:val="00E871F3"/>
    <w:rsid w:val="00EA1DB4"/>
    <w:rsid w:val="00EE38D4"/>
    <w:rsid w:val="00EF1081"/>
    <w:rsid w:val="00F00F51"/>
    <w:rsid w:val="00F0286C"/>
    <w:rsid w:val="00F22648"/>
    <w:rsid w:val="00F2631F"/>
    <w:rsid w:val="00F26854"/>
    <w:rsid w:val="00F47F76"/>
    <w:rsid w:val="00F57341"/>
    <w:rsid w:val="00FC3583"/>
    <w:rsid w:val="00FD724E"/>
    <w:rsid w:val="00FE3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484B"/>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081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DC6"/>
    <w:rPr>
      <w:sz w:val="18"/>
      <w:szCs w:val="18"/>
    </w:rPr>
  </w:style>
  <w:style w:type="paragraph" w:styleId="a4">
    <w:name w:val="footer"/>
    <w:basedOn w:val="a"/>
    <w:link w:val="Char0"/>
    <w:uiPriority w:val="99"/>
    <w:unhideWhenUsed/>
    <w:rsid w:val="00081DC6"/>
    <w:pPr>
      <w:tabs>
        <w:tab w:val="center" w:pos="4153"/>
        <w:tab w:val="right" w:pos="8306"/>
      </w:tabs>
      <w:snapToGrid w:val="0"/>
      <w:jc w:val="left"/>
    </w:pPr>
    <w:rPr>
      <w:sz w:val="18"/>
      <w:szCs w:val="18"/>
    </w:rPr>
  </w:style>
  <w:style w:type="character" w:customStyle="1" w:styleId="Char0">
    <w:name w:val="页脚 Char"/>
    <w:basedOn w:val="a0"/>
    <w:link w:val="a4"/>
    <w:uiPriority w:val="99"/>
    <w:rsid w:val="00081DC6"/>
    <w:rPr>
      <w:sz w:val="18"/>
      <w:szCs w:val="18"/>
    </w:rPr>
  </w:style>
  <w:style w:type="paragraph" w:styleId="a5">
    <w:name w:val="List Paragraph"/>
    <w:basedOn w:val="a"/>
    <w:uiPriority w:val="34"/>
    <w:qFormat/>
    <w:rsid w:val="0038044F"/>
    <w:pPr>
      <w:ind w:firstLineChars="200" w:firstLine="420"/>
    </w:pPr>
  </w:style>
  <w:style w:type="paragraph" w:styleId="a6">
    <w:name w:val="Balloon Text"/>
    <w:basedOn w:val="a"/>
    <w:link w:val="Char1"/>
    <w:uiPriority w:val="99"/>
    <w:semiHidden/>
    <w:unhideWhenUsed/>
    <w:rsid w:val="00295F52"/>
    <w:rPr>
      <w:sz w:val="18"/>
      <w:szCs w:val="18"/>
    </w:rPr>
  </w:style>
  <w:style w:type="character" w:customStyle="1" w:styleId="Char1">
    <w:name w:val="批注框文本 Char"/>
    <w:basedOn w:val="a0"/>
    <w:link w:val="a6"/>
    <w:uiPriority w:val="99"/>
    <w:semiHidden/>
    <w:rsid w:val="00295F52"/>
    <w:rPr>
      <w:sz w:val="18"/>
      <w:szCs w:val="18"/>
    </w:rPr>
  </w:style>
  <w:style w:type="character" w:styleId="a7">
    <w:name w:val="annotation reference"/>
    <w:basedOn w:val="a0"/>
    <w:uiPriority w:val="99"/>
    <w:semiHidden/>
    <w:unhideWhenUsed/>
    <w:rsid w:val="001D0C99"/>
    <w:rPr>
      <w:sz w:val="21"/>
      <w:szCs w:val="21"/>
    </w:rPr>
  </w:style>
  <w:style w:type="paragraph" w:styleId="a8">
    <w:name w:val="annotation text"/>
    <w:basedOn w:val="a"/>
    <w:link w:val="Char2"/>
    <w:uiPriority w:val="99"/>
    <w:semiHidden/>
    <w:unhideWhenUsed/>
    <w:rsid w:val="001D0C99"/>
    <w:pPr>
      <w:jc w:val="left"/>
    </w:pPr>
  </w:style>
  <w:style w:type="character" w:customStyle="1" w:styleId="Char2">
    <w:name w:val="批注文字 Char"/>
    <w:basedOn w:val="a0"/>
    <w:link w:val="a8"/>
    <w:uiPriority w:val="99"/>
    <w:semiHidden/>
    <w:rsid w:val="001D0C99"/>
  </w:style>
  <w:style w:type="paragraph" w:styleId="a9">
    <w:name w:val="annotation subject"/>
    <w:basedOn w:val="a8"/>
    <w:next w:val="a8"/>
    <w:link w:val="Char3"/>
    <w:uiPriority w:val="99"/>
    <w:semiHidden/>
    <w:unhideWhenUsed/>
    <w:rsid w:val="001D0C99"/>
    <w:rPr>
      <w:b/>
      <w:bCs/>
    </w:rPr>
  </w:style>
  <w:style w:type="character" w:customStyle="1" w:styleId="Char3">
    <w:name w:val="批注主题 Char"/>
    <w:basedOn w:val="Char2"/>
    <w:link w:val="a9"/>
    <w:uiPriority w:val="99"/>
    <w:semiHidden/>
    <w:rsid w:val="001D0C99"/>
    <w:rPr>
      <w:b/>
      <w:bCs/>
    </w:rPr>
  </w:style>
  <w:style w:type="paragraph" w:styleId="aa">
    <w:name w:val="Revision"/>
    <w:hidden/>
    <w:uiPriority w:val="99"/>
    <w:semiHidden/>
    <w:rsid w:val="00454C19"/>
  </w:style>
  <w:style w:type="character" w:customStyle="1" w:styleId="fontstyle01">
    <w:name w:val="fontstyle01"/>
    <w:basedOn w:val="a0"/>
    <w:rsid w:val="007B4D2A"/>
    <w:rPr>
      <w:rFonts w:ascii="WenQuanYiZenHei" w:hAnsi="WenQuanYiZenHei"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484B"/>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081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DC6"/>
    <w:rPr>
      <w:sz w:val="18"/>
      <w:szCs w:val="18"/>
    </w:rPr>
  </w:style>
  <w:style w:type="paragraph" w:styleId="a4">
    <w:name w:val="footer"/>
    <w:basedOn w:val="a"/>
    <w:link w:val="Char0"/>
    <w:uiPriority w:val="99"/>
    <w:unhideWhenUsed/>
    <w:rsid w:val="00081DC6"/>
    <w:pPr>
      <w:tabs>
        <w:tab w:val="center" w:pos="4153"/>
        <w:tab w:val="right" w:pos="8306"/>
      </w:tabs>
      <w:snapToGrid w:val="0"/>
      <w:jc w:val="left"/>
    </w:pPr>
    <w:rPr>
      <w:sz w:val="18"/>
      <w:szCs w:val="18"/>
    </w:rPr>
  </w:style>
  <w:style w:type="character" w:customStyle="1" w:styleId="Char0">
    <w:name w:val="页脚 Char"/>
    <w:basedOn w:val="a0"/>
    <w:link w:val="a4"/>
    <w:uiPriority w:val="99"/>
    <w:rsid w:val="00081DC6"/>
    <w:rPr>
      <w:sz w:val="18"/>
      <w:szCs w:val="18"/>
    </w:rPr>
  </w:style>
  <w:style w:type="paragraph" w:styleId="a5">
    <w:name w:val="List Paragraph"/>
    <w:basedOn w:val="a"/>
    <w:uiPriority w:val="34"/>
    <w:qFormat/>
    <w:rsid w:val="0038044F"/>
    <w:pPr>
      <w:ind w:firstLineChars="200" w:firstLine="420"/>
    </w:pPr>
  </w:style>
  <w:style w:type="paragraph" w:styleId="a6">
    <w:name w:val="Balloon Text"/>
    <w:basedOn w:val="a"/>
    <w:link w:val="Char1"/>
    <w:uiPriority w:val="99"/>
    <w:semiHidden/>
    <w:unhideWhenUsed/>
    <w:rsid w:val="00295F52"/>
    <w:rPr>
      <w:sz w:val="18"/>
      <w:szCs w:val="18"/>
    </w:rPr>
  </w:style>
  <w:style w:type="character" w:customStyle="1" w:styleId="Char1">
    <w:name w:val="批注框文本 Char"/>
    <w:basedOn w:val="a0"/>
    <w:link w:val="a6"/>
    <w:uiPriority w:val="99"/>
    <w:semiHidden/>
    <w:rsid w:val="00295F52"/>
    <w:rPr>
      <w:sz w:val="18"/>
      <w:szCs w:val="18"/>
    </w:rPr>
  </w:style>
  <w:style w:type="character" w:styleId="a7">
    <w:name w:val="annotation reference"/>
    <w:basedOn w:val="a0"/>
    <w:uiPriority w:val="99"/>
    <w:semiHidden/>
    <w:unhideWhenUsed/>
    <w:rsid w:val="001D0C99"/>
    <w:rPr>
      <w:sz w:val="21"/>
      <w:szCs w:val="21"/>
    </w:rPr>
  </w:style>
  <w:style w:type="paragraph" w:styleId="a8">
    <w:name w:val="annotation text"/>
    <w:basedOn w:val="a"/>
    <w:link w:val="Char2"/>
    <w:uiPriority w:val="99"/>
    <w:semiHidden/>
    <w:unhideWhenUsed/>
    <w:rsid w:val="001D0C99"/>
    <w:pPr>
      <w:jc w:val="left"/>
    </w:pPr>
  </w:style>
  <w:style w:type="character" w:customStyle="1" w:styleId="Char2">
    <w:name w:val="批注文字 Char"/>
    <w:basedOn w:val="a0"/>
    <w:link w:val="a8"/>
    <w:uiPriority w:val="99"/>
    <w:semiHidden/>
    <w:rsid w:val="001D0C99"/>
  </w:style>
  <w:style w:type="paragraph" w:styleId="a9">
    <w:name w:val="annotation subject"/>
    <w:basedOn w:val="a8"/>
    <w:next w:val="a8"/>
    <w:link w:val="Char3"/>
    <w:uiPriority w:val="99"/>
    <w:semiHidden/>
    <w:unhideWhenUsed/>
    <w:rsid w:val="001D0C99"/>
    <w:rPr>
      <w:b/>
      <w:bCs/>
    </w:rPr>
  </w:style>
  <w:style w:type="character" w:customStyle="1" w:styleId="Char3">
    <w:name w:val="批注主题 Char"/>
    <w:basedOn w:val="Char2"/>
    <w:link w:val="a9"/>
    <w:uiPriority w:val="99"/>
    <w:semiHidden/>
    <w:rsid w:val="001D0C99"/>
    <w:rPr>
      <w:b/>
      <w:bCs/>
    </w:rPr>
  </w:style>
  <w:style w:type="paragraph" w:styleId="aa">
    <w:name w:val="Revision"/>
    <w:hidden/>
    <w:uiPriority w:val="99"/>
    <w:semiHidden/>
    <w:rsid w:val="00454C19"/>
  </w:style>
  <w:style w:type="character" w:customStyle="1" w:styleId="fontstyle01">
    <w:name w:val="fontstyle01"/>
    <w:basedOn w:val="a0"/>
    <w:rsid w:val="007B4D2A"/>
    <w:rPr>
      <w:rFonts w:ascii="WenQuanYiZenHei" w:hAnsi="WenQuanYiZenHei"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53186957">
      <w:bodyDiv w:val="1"/>
      <w:marLeft w:val="0"/>
      <w:marRight w:val="0"/>
      <w:marTop w:val="0"/>
      <w:marBottom w:val="0"/>
      <w:divBdr>
        <w:top w:val="none" w:sz="0" w:space="0" w:color="auto"/>
        <w:left w:val="none" w:sz="0" w:space="0" w:color="auto"/>
        <w:bottom w:val="none" w:sz="0" w:space="0" w:color="auto"/>
        <w:right w:val="none" w:sz="0" w:space="0" w:color="auto"/>
      </w:divBdr>
    </w:div>
    <w:div w:id="757095062">
      <w:bodyDiv w:val="1"/>
      <w:marLeft w:val="0"/>
      <w:marRight w:val="0"/>
      <w:marTop w:val="0"/>
      <w:marBottom w:val="0"/>
      <w:divBdr>
        <w:top w:val="none" w:sz="0" w:space="0" w:color="auto"/>
        <w:left w:val="none" w:sz="0" w:space="0" w:color="auto"/>
        <w:bottom w:val="none" w:sz="0" w:space="0" w:color="auto"/>
        <w:right w:val="none" w:sz="0" w:space="0" w:color="auto"/>
      </w:divBdr>
    </w:div>
    <w:div w:id="938873852">
      <w:bodyDiv w:val="1"/>
      <w:marLeft w:val="0"/>
      <w:marRight w:val="0"/>
      <w:marTop w:val="0"/>
      <w:marBottom w:val="0"/>
      <w:divBdr>
        <w:top w:val="none" w:sz="0" w:space="0" w:color="auto"/>
        <w:left w:val="none" w:sz="0" w:space="0" w:color="auto"/>
        <w:bottom w:val="none" w:sz="0" w:space="0" w:color="auto"/>
        <w:right w:val="none" w:sz="0" w:space="0" w:color="auto"/>
      </w:divBdr>
    </w:div>
    <w:div w:id="1331367234">
      <w:bodyDiv w:val="1"/>
      <w:marLeft w:val="0"/>
      <w:marRight w:val="0"/>
      <w:marTop w:val="0"/>
      <w:marBottom w:val="0"/>
      <w:divBdr>
        <w:top w:val="none" w:sz="0" w:space="0" w:color="auto"/>
        <w:left w:val="none" w:sz="0" w:space="0" w:color="auto"/>
        <w:bottom w:val="none" w:sz="0" w:space="0" w:color="auto"/>
        <w:right w:val="none" w:sz="0" w:space="0" w:color="auto"/>
      </w:divBdr>
    </w:div>
    <w:div w:id="1669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4</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庞爱萍</dc:creator>
  <cp:lastModifiedBy>ZHONGM</cp:lastModifiedBy>
  <cp:revision>2</cp:revision>
  <dcterms:created xsi:type="dcterms:W3CDTF">2021-01-20T16:22:00Z</dcterms:created>
  <dcterms:modified xsi:type="dcterms:W3CDTF">2021-01-20T16:22:00Z</dcterms:modified>
</cp:coreProperties>
</file>