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6A21" w:rsidRDefault="00CC2A76" w:rsidP="00C205E7">
      <w:pPr>
        <w:spacing w:line="360" w:lineRule="auto"/>
        <w:ind w:rightChars="200" w:right="420"/>
        <w:jc w:val="center"/>
        <w:rPr>
          <w:b/>
          <w:sz w:val="32"/>
          <w:szCs w:val="32"/>
        </w:rPr>
      </w:pPr>
      <w:r>
        <w:rPr>
          <w:rFonts w:ascii="宋体" w:hAnsi="宋体" w:hint="eastAsia"/>
          <w:b/>
          <w:sz w:val="32"/>
          <w:szCs w:val="32"/>
        </w:rPr>
        <w:t>关于</w:t>
      </w:r>
      <w:r w:rsidR="003250B3" w:rsidRPr="003250B3">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p>
    <w:p w:rsidR="00B26A21" w:rsidRPr="00B33801" w:rsidRDefault="00B33801" w:rsidP="00C205E7">
      <w:pPr>
        <w:spacing w:line="360" w:lineRule="auto"/>
        <w:ind w:rightChars="200" w:right="420"/>
        <w:jc w:val="center"/>
        <w:rPr>
          <w:rFonts w:asciiTheme="minorEastAsia" w:hAnsiTheme="minorEastAsia"/>
          <w:b/>
          <w:sz w:val="32"/>
          <w:szCs w:val="32"/>
        </w:rPr>
      </w:pPr>
      <w:r w:rsidRPr="00B33801">
        <w:rPr>
          <w:rFonts w:asciiTheme="minorEastAsia" w:hAnsiTheme="minorEastAsia"/>
          <w:b/>
          <w:sz w:val="32"/>
          <w:szCs w:val="32"/>
        </w:rPr>
        <w:t>江苏汇林保大基金销售有限公司</w:t>
      </w:r>
      <w:r w:rsidR="00D14279" w:rsidRPr="00B33801">
        <w:rPr>
          <w:rFonts w:asciiTheme="minorEastAsia" w:hAnsiTheme="minorEastAsia" w:hint="eastAsia"/>
          <w:b/>
          <w:sz w:val="32"/>
          <w:szCs w:val="32"/>
        </w:rPr>
        <w:t>为</w:t>
      </w:r>
      <w:r w:rsidR="00924F94" w:rsidRPr="00B33801">
        <w:rPr>
          <w:rFonts w:asciiTheme="minorEastAsia" w:hAnsiTheme="minorEastAsia" w:hint="eastAsia"/>
          <w:b/>
          <w:sz w:val="32"/>
          <w:szCs w:val="32"/>
        </w:rPr>
        <w:t>代销机构</w:t>
      </w:r>
    </w:p>
    <w:p w:rsidR="007438F8" w:rsidRPr="00B36CF2" w:rsidRDefault="009845D9" w:rsidP="00C205E7">
      <w:pPr>
        <w:spacing w:line="360" w:lineRule="auto"/>
        <w:ind w:rightChars="200" w:right="420"/>
        <w:jc w:val="center"/>
        <w:rPr>
          <w:b/>
          <w:sz w:val="32"/>
          <w:szCs w:val="32"/>
        </w:rPr>
      </w:pPr>
      <w:r>
        <w:rPr>
          <w:rFonts w:ascii="宋体" w:hAnsi="宋体" w:hint="eastAsia"/>
          <w:b/>
          <w:sz w:val="32"/>
          <w:szCs w:val="32"/>
        </w:rPr>
        <w:t>并</w:t>
      </w:r>
      <w:r w:rsidR="00C70C22" w:rsidRPr="00AA6BD2">
        <w:rPr>
          <w:rFonts w:asciiTheme="minorEastAsia" w:hAnsiTheme="minorEastAsia" w:hint="eastAsia"/>
          <w:b/>
          <w:sz w:val="32"/>
          <w:szCs w:val="32"/>
        </w:rPr>
        <w:t>开通定期定额投资业务</w:t>
      </w:r>
      <w:r w:rsidR="00C70C22">
        <w:rPr>
          <w:rFonts w:asciiTheme="minorEastAsia" w:hAnsiTheme="minorEastAsia" w:hint="eastAsia"/>
          <w:b/>
          <w:sz w:val="32"/>
          <w:szCs w:val="32"/>
        </w:rPr>
        <w:t>及</w:t>
      </w:r>
      <w:r w:rsidR="00C70C22" w:rsidRPr="00AA6BD2">
        <w:rPr>
          <w:rFonts w:asciiTheme="minorEastAsia" w:hAnsiTheme="minorEastAsia" w:hint="eastAsia"/>
          <w:b/>
          <w:sz w:val="32"/>
          <w:szCs w:val="32"/>
        </w:rPr>
        <w:t>参加费率优惠活动的公告</w:t>
      </w:r>
    </w:p>
    <w:p w:rsidR="00D14279" w:rsidRPr="006A6DBD" w:rsidRDefault="00D14279" w:rsidP="00261C8F">
      <w:pPr>
        <w:spacing w:line="360" w:lineRule="auto"/>
        <w:ind w:firstLine="480"/>
        <w:rPr>
          <w:rFonts w:asciiTheme="minorEastAsia" w:hAnsiTheme="minorEastAsia" w:cs="Times New Roman"/>
          <w:sz w:val="24"/>
          <w:szCs w:val="24"/>
        </w:rPr>
      </w:pPr>
    </w:p>
    <w:p w:rsidR="00444F59" w:rsidRPr="00261C8F" w:rsidRDefault="002B0DD0" w:rsidP="00261C8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37416"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00F37416" w:rsidRPr="005F3693">
        <w:rPr>
          <w:rFonts w:asciiTheme="minorEastAsia" w:hAnsiTheme="minorEastAsia" w:cs="Times New Roman" w:hint="eastAsia"/>
          <w:sz w:val="24"/>
          <w:szCs w:val="24"/>
        </w:rPr>
        <w:t>与</w:t>
      </w:r>
      <w:r w:rsidR="00B33801" w:rsidRPr="00B33801">
        <w:rPr>
          <w:rFonts w:asciiTheme="minorEastAsia" w:hAnsiTheme="minorEastAsia" w:cs="Times New Roman" w:hint="eastAsia"/>
          <w:sz w:val="24"/>
          <w:szCs w:val="24"/>
        </w:rPr>
        <w:t>江苏汇林保大基金销售有限公司</w:t>
      </w:r>
      <w:r w:rsidR="00C70C22">
        <w:rPr>
          <w:rFonts w:asciiTheme="minorEastAsia" w:hAnsiTheme="minorEastAsia" w:cs="Times New Roman" w:hint="eastAsia"/>
          <w:sz w:val="24"/>
          <w:szCs w:val="24"/>
        </w:rPr>
        <w:t>（以下简称“</w:t>
      </w:r>
      <w:r w:rsidR="00B33801">
        <w:rPr>
          <w:rFonts w:asciiTheme="minorEastAsia" w:hAnsiTheme="minorEastAsia" w:cs="Times New Roman" w:hint="eastAsia"/>
          <w:sz w:val="24"/>
          <w:szCs w:val="24"/>
        </w:rPr>
        <w:t>汇林保大</w:t>
      </w:r>
      <w:r w:rsidR="00C70C22">
        <w:rPr>
          <w:rFonts w:asciiTheme="minorEastAsia" w:hAnsiTheme="minorEastAsia" w:cs="Times New Roman" w:hint="eastAsia"/>
          <w:sz w:val="24"/>
          <w:szCs w:val="24"/>
        </w:rPr>
        <w:t>”）</w:t>
      </w:r>
      <w:r w:rsidR="00F37416" w:rsidRPr="005F3693">
        <w:rPr>
          <w:rFonts w:asciiTheme="minorEastAsia" w:hAnsiTheme="minorEastAsia" w:cs="Times New Roman" w:hint="eastAsia"/>
          <w:sz w:val="24"/>
          <w:szCs w:val="24"/>
        </w:rPr>
        <w:t>签署</w:t>
      </w:r>
      <w:r w:rsidR="00F37416"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00F37416"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10DB7" w:rsidRPr="005F3693">
        <w:rPr>
          <w:rFonts w:asciiTheme="minorEastAsia" w:hAnsiTheme="minorEastAsia" w:cs="Times New Roman"/>
          <w:sz w:val="24"/>
          <w:szCs w:val="24"/>
        </w:rPr>
        <w:t>202</w:t>
      </w:r>
      <w:r>
        <w:rPr>
          <w:rFonts w:asciiTheme="minorEastAsia" w:hAnsiTheme="minorEastAsia" w:cs="Times New Roman" w:hint="eastAsia"/>
          <w:sz w:val="24"/>
          <w:szCs w:val="24"/>
        </w:rPr>
        <w:t>1</w:t>
      </w:r>
      <w:r w:rsidR="00810DB7" w:rsidRPr="005F3693">
        <w:rPr>
          <w:rFonts w:asciiTheme="minorEastAsia" w:hAnsiTheme="minorEastAsia" w:cs="Times New Roman" w:hint="eastAsia"/>
          <w:sz w:val="24"/>
          <w:szCs w:val="24"/>
        </w:rPr>
        <w:t>年</w:t>
      </w:r>
      <w:r w:rsidR="00810DB7" w:rsidRPr="005F3693">
        <w:rPr>
          <w:rFonts w:asciiTheme="minorEastAsia" w:hAnsiTheme="minorEastAsia" w:cs="Times New Roman"/>
          <w:sz w:val="24"/>
          <w:szCs w:val="24"/>
        </w:rPr>
        <w:t>1</w:t>
      </w:r>
      <w:r w:rsidR="0026736B" w:rsidRPr="005F3693">
        <w:rPr>
          <w:rFonts w:asciiTheme="minorEastAsia" w:hAnsiTheme="minorEastAsia" w:cs="Times New Roman" w:hint="eastAsia"/>
          <w:sz w:val="24"/>
          <w:szCs w:val="24"/>
        </w:rPr>
        <w:t>月</w:t>
      </w:r>
      <w:r w:rsidR="00B33801">
        <w:rPr>
          <w:rFonts w:asciiTheme="minorEastAsia" w:hAnsiTheme="minorEastAsia" w:cs="Times New Roman"/>
          <w:sz w:val="24"/>
          <w:szCs w:val="24"/>
        </w:rPr>
        <w:t>21</w:t>
      </w:r>
      <w:r w:rsidR="0026736B" w:rsidRPr="005F3693">
        <w:rPr>
          <w:rFonts w:asciiTheme="minorEastAsia" w:hAnsiTheme="minorEastAsia" w:cs="Times New Roman" w:hint="eastAsia"/>
          <w:sz w:val="24"/>
          <w:szCs w:val="24"/>
        </w:rPr>
        <w:t>日起，增加</w:t>
      </w:r>
      <w:r w:rsidR="00B33801">
        <w:rPr>
          <w:rFonts w:asciiTheme="minorEastAsia" w:hAnsiTheme="minorEastAsia" w:cs="Times New Roman" w:hint="eastAsia"/>
          <w:sz w:val="24"/>
          <w:szCs w:val="24"/>
        </w:rPr>
        <w:t>汇林保大</w:t>
      </w:r>
      <w:r w:rsidR="00924F94" w:rsidRPr="005F3693">
        <w:rPr>
          <w:rFonts w:asciiTheme="minorEastAsia" w:hAnsiTheme="minorEastAsia" w:cs="Times New Roman" w:hint="eastAsia"/>
          <w:sz w:val="24"/>
          <w:szCs w:val="24"/>
        </w:rPr>
        <w:t>为</w:t>
      </w:r>
      <w:r w:rsidR="003250B3" w:rsidRPr="003250B3">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tblpX="-68" w:tblpY="50"/>
        <w:tblW w:w="8755" w:type="dxa"/>
        <w:tblLook w:val="04A0"/>
      </w:tblPr>
      <w:tblGrid>
        <w:gridCol w:w="6062"/>
        <w:gridCol w:w="2693"/>
      </w:tblGrid>
      <w:tr w:rsidR="003250B3" w:rsidTr="00EE1F6F">
        <w:tc>
          <w:tcPr>
            <w:tcW w:w="6062" w:type="dxa"/>
            <w:vAlign w:val="center"/>
          </w:tcPr>
          <w:p w:rsidR="003250B3" w:rsidRDefault="003250B3" w:rsidP="00EE1F6F">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693" w:type="dxa"/>
            <w:vAlign w:val="center"/>
          </w:tcPr>
          <w:p w:rsidR="003250B3" w:rsidRDefault="003250B3" w:rsidP="00EE1F6F">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3250B3" w:rsidTr="00EE1F6F">
        <w:tc>
          <w:tcPr>
            <w:tcW w:w="6062"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中信建投中证500指数增强型证券投资基金</w:t>
            </w:r>
          </w:p>
        </w:tc>
        <w:tc>
          <w:tcPr>
            <w:tcW w:w="2693"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A类006440，C类006441</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中信建投睿利灵活配置混合型发起式证券投资基金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A类003308，C类004635</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中信建投睿信灵活配置混合型证券投资基金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A类000926，C类004676</w:t>
            </w:r>
          </w:p>
        </w:tc>
      </w:tr>
      <w:tr w:rsidR="002B0DD0" w:rsidTr="00EE1F6F">
        <w:tc>
          <w:tcPr>
            <w:tcW w:w="6062" w:type="dxa"/>
            <w:vAlign w:val="center"/>
          </w:tcPr>
          <w:p w:rsidR="002B0DD0" w:rsidRPr="00EE1F6F" w:rsidRDefault="00B33801"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中信建投稳裕定期开放债券型证券投资基金</w:t>
            </w:r>
          </w:p>
        </w:tc>
        <w:tc>
          <w:tcPr>
            <w:tcW w:w="2693" w:type="dxa"/>
            <w:vAlign w:val="center"/>
          </w:tcPr>
          <w:p w:rsidR="002B0DD0" w:rsidRPr="00EE1F6F" w:rsidRDefault="00B33801"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A类003573，C类007552</w:t>
            </w:r>
          </w:p>
        </w:tc>
      </w:tr>
      <w:tr w:rsidR="002B0DD0" w:rsidTr="00EE1F6F">
        <w:tc>
          <w:tcPr>
            <w:tcW w:w="6062" w:type="dxa"/>
            <w:vAlign w:val="center"/>
          </w:tcPr>
          <w:p w:rsidR="002B0DD0" w:rsidRPr="00EE1F6F" w:rsidRDefault="00B33801"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中信建投桂企债债券型证券投资基金</w:t>
            </w:r>
          </w:p>
        </w:tc>
        <w:tc>
          <w:tcPr>
            <w:tcW w:w="2693" w:type="dxa"/>
            <w:vAlign w:val="center"/>
          </w:tcPr>
          <w:p w:rsidR="002B0DD0" w:rsidRPr="00EE1F6F" w:rsidRDefault="00B33801"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A类008952, C类008953</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中信建投策略精选混合型证券投资基金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A类007468，C类007469</w:t>
            </w:r>
          </w:p>
        </w:tc>
      </w:tr>
      <w:tr w:rsidR="002B0DD0" w:rsidTr="00EE1F6F">
        <w:tc>
          <w:tcPr>
            <w:tcW w:w="6062" w:type="dxa"/>
            <w:vAlign w:val="center"/>
          </w:tcPr>
          <w:p w:rsidR="002B0DD0" w:rsidRPr="00EE1F6F" w:rsidRDefault="00B33801"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中信建投山西国有企业债定期开放债券型证券投资基金</w:t>
            </w:r>
          </w:p>
        </w:tc>
        <w:tc>
          <w:tcPr>
            <w:tcW w:w="2693" w:type="dxa"/>
            <w:vAlign w:val="center"/>
          </w:tcPr>
          <w:p w:rsidR="002B0DD0" w:rsidRPr="00EE1F6F" w:rsidRDefault="00EE1F6F"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A类005527，C类005528</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中信建投价值甄选混合型证券投资基金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A类008347，C类008348</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中信建投医药健康混合型证券投资基金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A类010090，C类010091</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中信建投智享生活混合型证券投资基金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A类010282，C类010283</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中信建投聚利混合型证券投资基金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A类001914，C类006845</w:t>
            </w:r>
          </w:p>
        </w:tc>
      </w:tr>
      <w:tr w:rsidR="002B0DD0" w:rsidTr="00EE1F6F">
        <w:tc>
          <w:tcPr>
            <w:tcW w:w="6062"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中信建投睿溢混合型证券投资基金</w:t>
            </w:r>
          </w:p>
        </w:tc>
        <w:tc>
          <w:tcPr>
            <w:tcW w:w="2693" w:type="dxa"/>
            <w:vAlign w:val="center"/>
          </w:tcPr>
          <w:p w:rsidR="002B0DD0"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A类002640，C类006843</w:t>
            </w:r>
          </w:p>
        </w:tc>
      </w:tr>
      <w:tr w:rsidR="003250B3" w:rsidTr="00EE1F6F">
        <w:tc>
          <w:tcPr>
            <w:tcW w:w="6062"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中信建投稳利混合型证券投资基金</w:t>
            </w:r>
          </w:p>
        </w:tc>
        <w:tc>
          <w:tcPr>
            <w:tcW w:w="2693"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A类000804，C类006844</w:t>
            </w:r>
          </w:p>
        </w:tc>
      </w:tr>
      <w:tr w:rsidR="003250B3" w:rsidTr="00EE1F6F">
        <w:tc>
          <w:tcPr>
            <w:tcW w:w="6062"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中信建投景和中短债债券型证券投资基金</w:t>
            </w:r>
          </w:p>
        </w:tc>
        <w:tc>
          <w:tcPr>
            <w:tcW w:w="2693" w:type="dxa"/>
            <w:vAlign w:val="center"/>
          </w:tcPr>
          <w:p w:rsidR="003250B3" w:rsidRPr="00EE1F6F" w:rsidRDefault="002B0DD0" w:rsidP="00EE1F6F">
            <w:pPr>
              <w:widowControl/>
              <w:spacing w:after="180"/>
              <w:jc w:val="center"/>
              <w:rPr>
                <w:rFonts w:asciiTheme="minorEastAsia" w:hAnsiTheme="minorEastAsia"/>
                <w:sz w:val="24"/>
                <w:szCs w:val="24"/>
              </w:rPr>
            </w:pPr>
            <w:r w:rsidRPr="00EE1F6F">
              <w:rPr>
                <w:rFonts w:asciiTheme="minorEastAsia" w:hAnsiTheme="minorEastAsia" w:hint="eastAsia"/>
                <w:sz w:val="24"/>
                <w:szCs w:val="24"/>
              </w:rPr>
              <w:t>A类000503, C类000504</w:t>
            </w:r>
          </w:p>
        </w:tc>
      </w:tr>
    </w:tbl>
    <w:p w:rsidR="00924F94" w:rsidRPr="005F3693" w:rsidRDefault="003250B3" w:rsidP="003250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10DB7" w:rsidRPr="005F3693">
        <w:rPr>
          <w:rFonts w:asciiTheme="minorEastAsia" w:hAnsiTheme="minorEastAsia" w:cs="Times New Roman"/>
          <w:sz w:val="24"/>
          <w:szCs w:val="24"/>
        </w:rPr>
        <w:t>202</w:t>
      </w:r>
      <w:r w:rsidR="002B0DD0">
        <w:rPr>
          <w:rFonts w:asciiTheme="minorEastAsia" w:hAnsiTheme="minorEastAsia" w:cs="Times New Roman" w:hint="eastAsia"/>
          <w:sz w:val="24"/>
          <w:szCs w:val="24"/>
        </w:rPr>
        <w:t>1</w:t>
      </w:r>
      <w:r w:rsidR="00810DB7" w:rsidRPr="005F3693">
        <w:rPr>
          <w:rFonts w:asciiTheme="minorEastAsia" w:hAnsiTheme="minorEastAsia" w:cs="Times New Roman" w:hint="eastAsia"/>
          <w:sz w:val="24"/>
          <w:szCs w:val="24"/>
        </w:rPr>
        <w:t>年</w:t>
      </w:r>
      <w:r w:rsidR="00810DB7" w:rsidRPr="005F3693">
        <w:rPr>
          <w:rFonts w:asciiTheme="minorEastAsia" w:hAnsiTheme="minorEastAsia" w:cs="Times New Roman"/>
          <w:sz w:val="24"/>
          <w:szCs w:val="24"/>
        </w:rPr>
        <w:t>1</w:t>
      </w:r>
      <w:r w:rsidRPr="005F3693">
        <w:rPr>
          <w:rFonts w:asciiTheme="minorEastAsia" w:hAnsiTheme="minorEastAsia" w:cs="Times New Roman" w:hint="eastAsia"/>
          <w:sz w:val="24"/>
          <w:szCs w:val="24"/>
        </w:rPr>
        <w:t>月</w:t>
      </w:r>
      <w:r w:rsidR="00B33801">
        <w:rPr>
          <w:rFonts w:asciiTheme="minorEastAsia" w:hAnsiTheme="minorEastAsia" w:cs="Times New Roman"/>
          <w:sz w:val="24"/>
          <w:szCs w:val="24"/>
        </w:rPr>
        <w:t>21</w:t>
      </w:r>
      <w:r w:rsidRPr="005F3693">
        <w:rPr>
          <w:rFonts w:asciiTheme="minorEastAsia" w:hAnsiTheme="minorEastAsia" w:cs="Times New Roman" w:hint="eastAsia"/>
          <w:sz w:val="24"/>
          <w:szCs w:val="24"/>
        </w:rPr>
        <w:t>日起，投资者可通过</w:t>
      </w:r>
      <w:r w:rsidR="00B33801">
        <w:rPr>
          <w:rFonts w:asciiTheme="minorEastAsia" w:hAnsiTheme="minorEastAsia" w:cs="Times New Roman" w:hint="eastAsia"/>
          <w:sz w:val="24"/>
          <w:szCs w:val="24"/>
        </w:rPr>
        <w:t>汇林保大</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B33801">
        <w:rPr>
          <w:rFonts w:asciiTheme="minorEastAsia" w:hAnsiTheme="minorEastAsia" w:cs="Times New Roman" w:hint="eastAsia"/>
          <w:sz w:val="24"/>
          <w:szCs w:val="24"/>
        </w:rPr>
        <w:t>汇林保大</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B33801">
        <w:rPr>
          <w:rFonts w:asciiTheme="minorEastAsia" w:hAnsiTheme="minorEastAsia" w:cs="Times New Roman" w:hint="eastAsia"/>
          <w:sz w:val="24"/>
          <w:szCs w:val="24"/>
        </w:rPr>
        <w:t>汇林保大</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w:t>
      </w:r>
      <w:r w:rsidR="00E9356C" w:rsidRPr="005F3693">
        <w:rPr>
          <w:rFonts w:asciiTheme="minorEastAsia" w:hAnsiTheme="minorEastAsia" w:cs="Times New Roman" w:hint="eastAsia"/>
          <w:sz w:val="24"/>
          <w:szCs w:val="24"/>
        </w:rPr>
        <w:lastRenderedPageBreak/>
        <w:t>的规定为准。</w:t>
      </w:r>
    </w:p>
    <w:p w:rsidR="00C70C22" w:rsidRPr="00DD791B" w:rsidRDefault="00742F4D" w:rsidP="00DD791B">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C70C22" w:rsidRPr="00975CC1"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B33801">
        <w:rPr>
          <w:rFonts w:asciiTheme="minorEastAsia" w:hAnsiTheme="minorEastAsia" w:cs="Times New Roman" w:hint="eastAsia"/>
          <w:sz w:val="24"/>
          <w:szCs w:val="24"/>
        </w:rPr>
        <w:t>汇林保大</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办理上述基金</w:t>
      </w:r>
      <w:r w:rsidR="00DD395C" w:rsidRPr="00F86E01">
        <w:rPr>
          <w:rFonts w:asciiTheme="minorEastAsia" w:hAnsiTheme="minorEastAsia" w:cs="Times New Roman" w:hint="eastAsia"/>
          <w:sz w:val="24"/>
          <w:szCs w:val="24"/>
        </w:rPr>
        <w:t>（</w:t>
      </w:r>
      <w:r w:rsidR="00EE1F6F" w:rsidRPr="00EE1F6F">
        <w:rPr>
          <w:rFonts w:asciiTheme="minorEastAsia" w:hAnsiTheme="minorEastAsia" w:hint="eastAsia"/>
          <w:sz w:val="24"/>
          <w:szCs w:val="24"/>
        </w:rPr>
        <w:t>中信建投稳裕定期开放债券型证券投资基金A类003573，C类007552</w:t>
      </w:r>
      <w:r w:rsidR="00EE1F6F">
        <w:rPr>
          <w:rFonts w:asciiTheme="minorEastAsia" w:hAnsiTheme="minorEastAsia" w:hint="eastAsia"/>
          <w:sz w:val="24"/>
          <w:szCs w:val="24"/>
        </w:rPr>
        <w:t>；</w:t>
      </w:r>
      <w:r w:rsidR="00EE1F6F" w:rsidRPr="00EE1F6F">
        <w:rPr>
          <w:rFonts w:asciiTheme="minorEastAsia" w:hAnsiTheme="minorEastAsia" w:hint="eastAsia"/>
          <w:sz w:val="24"/>
          <w:szCs w:val="24"/>
        </w:rPr>
        <w:t>中信建投桂企债债券型证券投资基金A类008952, C类008953</w:t>
      </w:r>
      <w:r w:rsidR="00EE1F6F">
        <w:rPr>
          <w:rFonts w:asciiTheme="minorEastAsia" w:hAnsiTheme="minorEastAsia" w:hint="eastAsia"/>
          <w:sz w:val="24"/>
          <w:szCs w:val="24"/>
        </w:rPr>
        <w:t>；</w:t>
      </w:r>
      <w:r w:rsidR="00EE1F6F" w:rsidRPr="00EE1F6F">
        <w:rPr>
          <w:rFonts w:asciiTheme="minorEastAsia" w:hAnsiTheme="minorEastAsia" w:hint="eastAsia"/>
          <w:sz w:val="24"/>
          <w:szCs w:val="24"/>
        </w:rPr>
        <w:t>中信建投山西国有企业债定期开放债券型证券投资基金A类005527，C类005528</w:t>
      </w:r>
      <w:r w:rsidR="00DD395C" w:rsidRPr="00EE1F6F">
        <w:rPr>
          <w:rFonts w:asciiTheme="minorEastAsia" w:hAnsiTheme="minorEastAsia" w:hint="eastAsia"/>
          <w:sz w:val="24"/>
          <w:szCs w:val="24"/>
        </w:rPr>
        <w:t>除外</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B33801">
        <w:rPr>
          <w:rFonts w:asciiTheme="minorEastAsia" w:hAnsiTheme="minorEastAsia" w:cs="Times New Roman" w:hint="eastAsia"/>
          <w:sz w:val="24"/>
          <w:szCs w:val="24"/>
        </w:rPr>
        <w:t>汇林保大</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742F4D" w:rsidP="00D14279">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、适用投资者</w:t>
      </w:r>
    </w:p>
    <w:p w:rsidR="00742F4D" w:rsidRPr="00571A72" w:rsidRDefault="00C70C22" w:rsidP="00571A72">
      <w:pPr>
        <w:spacing w:line="360" w:lineRule="auto"/>
        <w:ind w:firstLineChars="200" w:firstLine="480"/>
        <w:rPr>
          <w:rFonts w:asciiTheme="minorEastAsia" w:hAnsiTheme="minorEastAsia" w:cs="Times New Roman"/>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r w:rsidR="00571A72">
        <w:rPr>
          <w:rFonts w:asciiTheme="minorEastAsia" w:hAnsiTheme="minorEastAsia" w:cs="Times New Roman" w:hint="eastAsia"/>
          <w:sz w:val="24"/>
          <w:szCs w:val="24"/>
        </w:rPr>
        <w:t>另，</w:t>
      </w:r>
      <w:r w:rsidR="00571A72" w:rsidRPr="00FA4F59">
        <w:rPr>
          <w:rFonts w:asciiTheme="minorEastAsia" w:hAnsiTheme="minorEastAsia" w:cs="Times New Roman"/>
          <w:sz w:val="24"/>
          <w:szCs w:val="24"/>
        </w:rPr>
        <w:t>根据最新业务规定，中信建投桂企债债券型证券投资基金暂停个人投资者申购业务，开放时间以公司届时公告为准。</w:t>
      </w:r>
      <w:bookmarkStart w:id="0" w:name="_GoBack"/>
      <w:bookmarkEnd w:id="0"/>
    </w:p>
    <w:p w:rsidR="00C70C22" w:rsidRPr="00975CC1" w:rsidRDefault="00742F4D"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70C22" w:rsidRPr="00975CC1" w:rsidRDefault="00C70C22" w:rsidP="00C70C22">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Pr>
          <w:rFonts w:asciiTheme="minorEastAsia" w:hAnsiTheme="minorEastAsia"/>
          <w:sz w:val="24"/>
          <w:szCs w:val="24"/>
        </w:rPr>
        <w:t>202</w:t>
      </w:r>
      <w:r w:rsidR="00D744B0">
        <w:rPr>
          <w:rFonts w:asciiTheme="minorEastAsia" w:hAnsiTheme="minorEastAsia" w:hint="eastAsia"/>
          <w:sz w:val="24"/>
          <w:szCs w:val="24"/>
        </w:rPr>
        <w:t>1</w:t>
      </w:r>
      <w:r w:rsidRPr="00975CC1">
        <w:rPr>
          <w:rFonts w:asciiTheme="minorEastAsia" w:hAnsiTheme="minorEastAsia" w:hint="eastAsia"/>
          <w:sz w:val="24"/>
          <w:szCs w:val="24"/>
        </w:rPr>
        <w:t>年</w:t>
      </w:r>
      <w:r>
        <w:rPr>
          <w:rFonts w:asciiTheme="minorEastAsia" w:hAnsiTheme="minorEastAsia"/>
          <w:sz w:val="24"/>
          <w:szCs w:val="24"/>
        </w:rPr>
        <w:t>1月</w:t>
      </w:r>
      <w:r w:rsidR="00B33801">
        <w:rPr>
          <w:rFonts w:asciiTheme="minorEastAsia" w:hAnsiTheme="minorEastAsia"/>
          <w:sz w:val="24"/>
          <w:szCs w:val="24"/>
        </w:rPr>
        <w:t>21</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规定的办理方式申请办理此项业务。</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 9：30-15：00。</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约定固定扣款日期，该扣款日期视为基金合同中约定的申购申请日（T 日）。</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B33801">
        <w:rPr>
          <w:rFonts w:asciiTheme="minorEastAsia" w:hAnsiTheme="minorEastAsia" w:cs="Times New Roman" w:hint="eastAsia"/>
          <w:sz w:val="24"/>
          <w:szCs w:val="24"/>
        </w:rPr>
        <w:t>汇林保大</w:t>
      </w:r>
      <w:r w:rsidRPr="00F86E01">
        <w:rPr>
          <w:rFonts w:asciiTheme="minorEastAsia" w:hAnsiTheme="minorEastAsia" w:cs="Times New Roman" w:hint="eastAsia"/>
          <w:sz w:val="24"/>
          <w:szCs w:val="24"/>
        </w:rPr>
        <w:t>就上述基金申请开办定期定额投资业务约定固定扣款</w:t>
      </w:r>
      <w:r w:rsidRPr="00F86E01">
        <w:rPr>
          <w:rFonts w:asciiTheme="minorEastAsia" w:hAnsiTheme="minorEastAsia" w:cs="Times New Roman" w:hint="eastAsia"/>
          <w:sz w:val="24"/>
          <w:szCs w:val="24"/>
        </w:rPr>
        <w:lastRenderedPageBreak/>
        <w:t>（申购）金额，</w:t>
      </w:r>
      <w:r w:rsidR="00F86E01" w:rsidRPr="00F86E01">
        <w:rPr>
          <w:rFonts w:asciiTheme="minorEastAsia" w:hAnsiTheme="minorEastAsia" w:cs="Times New Roman" w:hint="eastAsia"/>
          <w:sz w:val="24"/>
          <w:szCs w:val="24"/>
        </w:rPr>
        <w:t>每只基金扣款金额为人民币</w:t>
      </w:r>
      <w:r w:rsidR="00F86E01" w:rsidRPr="00F86E01">
        <w:rPr>
          <w:rFonts w:asciiTheme="minorEastAsia" w:hAnsiTheme="minorEastAsia" w:cs="Times New Roman"/>
          <w:sz w:val="24"/>
          <w:szCs w:val="24"/>
        </w:rPr>
        <w:t>10</w:t>
      </w:r>
      <w:r w:rsidR="00F86E01" w:rsidRPr="00F86E01">
        <w:rPr>
          <w:rFonts w:asciiTheme="minorEastAsia" w:hAnsiTheme="minorEastAsia" w:cs="Times New Roman" w:hint="eastAsia"/>
          <w:sz w:val="24"/>
          <w:szCs w:val="24"/>
        </w:rPr>
        <w:t>元起（含1</w:t>
      </w:r>
      <w:r w:rsidR="00F86E01" w:rsidRPr="00F86E01">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742F4D">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 日）的基金份额净值为基准计算申购份额。基金份额确认日为 T+1 日，投资者可在 T＋2 日到</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B33801">
        <w:rPr>
          <w:rFonts w:asciiTheme="minorEastAsia" w:hAnsiTheme="minorEastAsia" w:cs="Times New Roman" w:hint="eastAsia"/>
          <w:sz w:val="24"/>
          <w:szCs w:val="24"/>
        </w:rPr>
        <w:t>汇林保大</w:t>
      </w:r>
      <w:r w:rsidRPr="00975CC1">
        <w:rPr>
          <w:rFonts w:asciiTheme="minorEastAsia" w:hAnsiTheme="minorEastAsia" w:cs="Times New Roman" w:hint="eastAsia"/>
          <w:sz w:val="24"/>
          <w:szCs w:val="24"/>
        </w:rPr>
        <w:t>的有关规定。</w:t>
      </w:r>
    </w:p>
    <w:p w:rsidR="009845D9" w:rsidRDefault="00742F4D" w:rsidP="00B36CF2">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十三</w:t>
      </w:r>
      <w:r w:rsidR="009845D9">
        <w:rPr>
          <w:rFonts w:asciiTheme="minorEastAsia" w:hAnsiTheme="minorEastAsia" w:cs="Times New Roman" w:hint="eastAsia"/>
          <w:sz w:val="24"/>
          <w:szCs w:val="24"/>
        </w:rPr>
        <w:t>、优惠活动方案</w:t>
      </w:r>
    </w:p>
    <w:p w:rsidR="009845D9" w:rsidRDefault="009845D9" w:rsidP="009845D9">
      <w:pPr>
        <w:spacing w:line="360" w:lineRule="auto"/>
        <w:ind w:firstLineChars="200" w:firstLine="480"/>
        <w:rPr>
          <w:rFonts w:asciiTheme="minorEastAsia" w:hAnsiTheme="minorEastAsia"/>
          <w:sz w:val="24"/>
          <w:szCs w:val="24"/>
        </w:rPr>
      </w:pPr>
      <w:r w:rsidRPr="005D1E5F">
        <w:rPr>
          <w:rFonts w:asciiTheme="minorEastAsia" w:hAnsiTheme="minorEastAsia" w:hint="eastAsia"/>
          <w:sz w:val="24"/>
          <w:szCs w:val="24"/>
        </w:rPr>
        <w:t>在优惠活动期间，</w:t>
      </w:r>
      <w:r w:rsidRPr="005D1E5F">
        <w:rPr>
          <w:rFonts w:asciiTheme="minorEastAsia" w:hAnsiTheme="minorEastAsia"/>
          <w:sz w:val="24"/>
          <w:szCs w:val="24"/>
        </w:rPr>
        <w:t>投资者通过</w:t>
      </w:r>
      <w:r w:rsidR="00B33801">
        <w:rPr>
          <w:rFonts w:asciiTheme="minorEastAsia" w:hAnsiTheme="minorEastAsia" w:cs="Times New Roman" w:hint="eastAsia"/>
          <w:sz w:val="24"/>
          <w:szCs w:val="24"/>
        </w:rPr>
        <w:t>汇林保大</w:t>
      </w:r>
      <w:r w:rsidRPr="005D1E5F">
        <w:rPr>
          <w:rFonts w:asciiTheme="minorEastAsia" w:hAnsiTheme="minorEastAsia"/>
          <w:sz w:val="24"/>
          <w:szCs w:val="24"/>
        </w:rPr>
        <w:t>指定</w:t>
      </w:r>
      <w:r>
        <w:rPr>
          <w:rFonts w:asciiTheme="minorEastAsia" w:hAnsiTheme="minorEastAsia" w:hint="eastAsia"/>
          <w:sz w:val="24"/>
          <w:szCs w:val="24"/>
        </w:rPr>
        <w:t>方式</w:t>
      </w:r>
      <w:r w:rsidRPr="005D1E5F">
        <w:rPr>
          <w:rFonts w:asciiTheme="minorEastAsia" w:hAnsiTheme="minorEastAsia"/>
          <w:sz w:val="24"/>
          <w:szCs w:val="24"/>
        </w:rPr>
        <w:t>办理上述基金</w:t>
      </w:r>
      <w:r>
        <w:rPr>
          <w:rFonts w:asciiTheme="minorEastAsia" w:hAnsiTheme="minorEastAsia" w:hint="eastAsia"/>
          <w:sz w:val="24"/>
          <w:szCs w:val="24"/>
        </w:rPr>
        <w:t>A类份额</w:t>
      </w:r>
      <w:r w:rsidR="00903E99">
        <w:rPr>
          <w:rFonts w:asciiTheme="minorEastAsia" w:hAnsiTheme="minorEastAsia" w:hint="eastAsia"/>
          <w:sz w:val="24"/>
          <w:szCs w:val="24"/>
        </w:rPr>
        <w:t>的</w:t>
      </w:r>
      <w:r>
        <w:rPr>
          <w:rFonts w:asciiTheme="minorEastAsia" w:hAnsiTheme="minorEastAsia" w:hint="eastAsia"/>
          <w:sz w:val="24"/>
          <w:szCs w:val="24"/>
        </w:rPr>
        <w:t>申购</w:t>
      </w:r>
      <w:r w:rsidR="00C26AB9">
        <w:rPr>
          <w:rFonts w:asciiTheme="minorEastAsia" w:hAnsiTheme="minorEastAsia" w:hint="eastAsia"/>
          <w:sz w:val="24"/>
          <w:szCs w:val="24"/>
        </w:rPr>
        <w:t>（含定期定额投资）</w:t>
      </w:r>
      <w:r>
        <w:rPr>
          <w:rFonts w:asciiTheme="minorEastAsia" w:hAnsiTheme="minorEastAsia" w:hint="eastAsia"/>
          <w:sz w:val="24"/>
          <w:szCs w:val="24"/>
        </w:rPr>
        <w:t>享有费率折扣，</w:t>
      </w:r>
      <w:r>
        <w:rPr>
          <w:rFonts w:asciiTheme="minorEastAsia" w:hAnsiTheme="minorEastAsia" w:hint="eastAsia"/>
          <w:kern w:val="0"/>
          <w:sz w:val="24"/>
          <w:szCs w:val="24"/>
        </w:rPr>
        <w:t>业务具体折扣率以</w:t>
      </w:r>
      <w:r w:rsidR="00B33801">
        <w:rPr>
          <w:rFonts w:asciiTheme="minorEastAsia" w:hAnsiTheme="minorEastAsia" w:cs="Times New Roman" w:hint="eastAsia"/>
          <w:sz w:val="24"/>
          <w:szCs w:val="24"/>
        </w:rPr>
        <w:t>汇林保大</w:t>
      </w:r>
      <w:r>
        <w:rPr>
          <w:rFonts w:asciiTheme="minorEastAsia" w:hAnsiTheme="minorEastAsia" w:hint="eastAsia"/>
          <w:sz w:val="24"/>
          <w:szCs w:val="24"/>
        </w:rPr>
        <w:t>的官网公告为准</w:t>
      </w:r>
      <w:r w:rsidRPr="005D1E5F">
        <w:rPr>
          <w:rFonts w:asciiTheme="minorEastAsia" w:hAnsiTheme="minorEastAsia"/>
          <w:sz w:val="24"/>
          <w:szCs w:val="24"/>
        </w:rPr>
        <w:t>。</w:t>
      </w:r>
    </w:p>
    <w:p w:rsidR="004F0DDB" w:rsidRPr="005F3693" w:rsidRDefault="00742F4D" w:rsidP="00B36CF2">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四</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C205E7" w:rsidRPr="007B0814" w:rsidRDefault="003B7ABB" w:rsidP="00C205E7">
      <w:pPr>
        <w:spacing w:line="360" w:lineRule="auto"/>
        <w:ind w:rightChars="200" w:right="420" w:firstLine="420"/>
        <w:rPr>
          <w:rFonts w:ascii="宋体" w:hAnsi="宋体"/>
          <w:bCs/>
          <w:sz w:val="24"/>
          <w:szCs w:val="20"/>
        </w:rPr>
      </w:pPr>
      <w:r w:rsidRPr="005F3693">
        <w:rPr>
          <w:rFonts w:asciiTheme="minorEastAsia" w:hAnsiTheme="minorEastAsia" w:hint="eastAsia"/>
          <w:sz w:val="24"/>
          <w:szCs w:val="24"/>
        </w:rPr>
        <w:t>1、</w:t>
      </w:r>
      <w:r w:rsidR="00B33801" w:rsidRPr="00B33801">
        <w:rPr>
          <w:rFonts w:ascii="宋体" w:hAnsi="宋体" w:hint="eastAsia"/>
          <w:bCs/>
          <w:sz w:val="24"/>
          <w:szCs w:val="20"/>
        </w:rPr>
        <w:t>江苏汇林保大基金销售有限公司</w:t>
      </w:r>
    </w:p>
    <w:p w:rsidR="00C205E7" w:rsidRPr="004E3778" w:rsidRDefault="00C205E7" w:rsidP="00C205E7">
      <w:pPr>
        <w:spacing w:line="360" w:lineRule="auto"/>
        <w:ind w:rightChars="200" w:right="420" w:firstLine="420"/>
        <w:rPr>
          <w:rFonts w:ascii="宋体" w:hAnsi="宋体"/>
          <w:bCs/>
          <w:sz w:val="24"/>
        </w:rPr>
      </w:pPr>
      <w:r w:rsidRPr="004E3778">
        <w:rPr>
          <w:rFonts w:ascii="宋体" w:hAnsi="宋体" w:hint="eastAsia"/>
          <w:bCs/>
          <w:sz w:val="24"/>
        </w:rPr>
        <w:t>网址：</w:t>
      </w:r>
      <w:r w:rsidR="00B33801" w:rsidRPr="00B33801">
        <w:rPr>
          <w:rFonts w:ascii="宋体" w:hAnsi="宋体"/>
          <w:bCs/>
          <w:sz w:val="24"/>
          <w:szCs w:val="20"/>
        </w:rPr>
        <w:t>www.huilinbd.com</w:t>
      </w:r>
    </w:p>
    <w:p w:rsidR="00C205E7" w:rsidRPr="004E3778" w:rsidRDefault="00C205E7" w:rsidP="00C205E7">
      <w:pPr>
        <w:spacing w:line="360" w:lineRule="auto"/>
        <w:ind w:rightChars="200" w:right="420" w:firstLine="420"/>
        <w:rPr>
          <w:rFonts w:ascii="宋体" w:hAnsi="宋体"/>
          <w:bCs/>
          <w:sz w:val="24"/>
        </w:rPr>
      </w:pPr>
      <w:r>
        <w:rPr>
          <w:rFonts w:ascii="宋体" w:hAnsi="宋体" w:hint="eastAsia"/>
          <w:bCs/>
          <w:sz w:val="24"/>
        </w:rPr>
        <w:t>联系电话</w:t>
      </w:r>
      <w:r w:rsidRPr="004E3778">
        <w:rPr>
          <w:rFonts w:ascii="宋体" w:hAnsi="宋体" w:hint="eastAsia"/>
          <w:bCs/>
          <w:sz w:val="24"/>
        </w:rPr>
        <w:t>：</w:t>
      </w:r>
      <w:r w:rsidR="00B33801" w:rsidRPr="00B33801">
        <w:rPr>
          <w:rFonts w:ascii="宋体" w:hAnsi="宋体"/>
          <w:bCs/>
          <w:sz w:val="24"/>
        </w:rPr>
        <w:t>025-66046166-849</w:t>
      </w:r>
    </w:p>
    <w:p w:rsidR="009A3A1B" w:rsidRPr="005F3693" w:rsidRDefault="003B7ABB" w:rsidP="00C205E7">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444F59" w:rsidRDefault="009A3A1B" w:rsidP="00B3380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EE1F6F" w:rsidRPr="005F3693" w:rsidRDefault="00EE1F6F" w:rsidP="00B33801">
      <w:pPr>
        <w:spacing w:line="360" w:lineRule="auto"/>
        <w:ind w:firstLineChars="200" w:firstLine="480"/>
        <w:rPr>
          <w:rFonts w:asciiTheme="minorEastAsia" w:hAnsiTheme="minorEastAsia" w:cs="Times New Roman"/>
          <w:sz w:val="24"/>
          <w:szCs w:val="24"/>
        </w:rPr>
      </w:pPr>
    </w:p>
    <w:p w:rsidR="00EE1F6F" w:rsidRDefault="00B25196" w:rsidP="00B3380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571A72" w:rsidRPr="005F3693" w:rsidRDefault="00571A72" w:rsidP="00B33801">
      <w:pPr>
        <w:spacing w:line="360" w:lineRule="auto"/>
        <w:ind w:firstLineChars="200" w:firstLine="480"/>
        <w:rPr>
          <w:rFonts w:asciiTheme="minorEastAsia" w:hAnsiTheme="minorEastAsia" w:cs="Times New Roman"/>
          <w:sz w:val="24"/>
          <w:szCs w:val="24"/>
        </w:rPr>
      </w:pPr>
    </w:p>
    <w:p w:rsidR="00012C27" w:rsidRDefault="00F37416" w:rsidP="00B33801">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EE1F6F" w:rsidRPr="005F3693" w:rsidRDefault="00EE1F6F" w:rsidP="00B33801">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D744B0">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Pr="005F3693">
        <w:rPr>
          <w:rFonts w:asciiTheme="minorEastAsia" w:hAnsiTheme="minorEastAsia" w:cs="Times New Roman"/>
          <w:sz w:val="24"/>
          <w:szCs w:val="24"/>
        </w:rPr>
        <w:t>1</w:t>
      </w:r>
      <w:r w:rsidRPr="005F3693">
        <w:rPr>
          <w:rFonts w:asciiTheme="minorEastAsia" w:hAnsiTheme="minorEastAsia" w:cs="Times New Roman" w:hint="eastAsia"/>
          <w:sz w:val="24"/>
          <w:szCs w:val="24"/>
        </w:rPr>
        <w:t>月</w:t>
      </w:r>
      <w:r w:rsidR="00B33801">
        <w:rPr>
          <w:rFonts w:asciiTheme="minorEastAsia" w:hAnsiTheme="minorEastAsia" w:cs="Times New Roman"/>
          <w:sz w:val="24"/>
          <w:szCs w:val="24"/>
        </w:rPr>
        <w:t>21</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4C" w:rsidRDefault="004A7A4C" w:rsidP="0013092C">
      <w:r>
        <w:separator/>
      </w:r>
    </w:p>
  </w:endnote>
  <w:endnote w:type="continuationSeparator" w:id="0">
    <w:p w:rsidR="004A7A4C" w:rsidRDefault="004A7A4C"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4C" w:rsidRDefault="004A7A4C" w:rsidP="0013092C">
      <w:r>
        <w:separator/>
      </w:r>
    </w:p>
  </w:footnote>
  <w:footnote w:type="continuationSeparator" w:id="0">
    <w:p w:rsidR="004A7A4C" w:rsidRDefault="004A7A4C"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4215C"/>
    <w:rsid w:val="00042969"/>
    <w:rsid w:val="00080497"/>
    <w:rsid w:val="000850F3"/>
    <w:rsid w:val="000B0617"/>
    <w:rsid w:val="000B3B24"/>
    <w:rsid w:val="000C3E22"/>
    <w:rsid w:val="001074B5"/>
    <w:rsid w:val="0013092C"/>
    <w:rsid w:val="00157D28"/>
    <w:rsid w:val="0018351D"/>
    <w:rsid w:val="001959D7"/>
    <w:rsid w:val="001E0BAC"/>
    <w:rsid w:val="00200CB3"/>
    <w:rsid w:val="0020618B"/>
    <w:rsid w:val="00224674"/>
    <w:rsid w:val="0023620C"/>
    <w:rsid w:val="00242CA3"/>
    <w:rsid w:val="00257D0E"/>
    <w:rsid w:val="00261C8F"/>
    <w:rsid w:val="0026736B"/>
    <w:rsid w:val="00280CC3"/>
    <w:rsid w:val="00283730"/>
    <w:rsid w:val="002867A9"/>
    <w:rsid w:val="002A15CF"/>
    <w:rsid w:val="002A25B5"/>
    <w:rsid w:val="002A5A4A"/>
    <w:rsid w:val="002B0DD0"/>
    <w:rsid w:val="002B5E6C"/>
    <w:rsid w:val="002D19F2"/>
    <w:rsid w:val="002D61D3"/>
    <w:rsid w:val="002F4AAB"/>
    <w:rsid w:val="0030373A"/>
    <w:rsid w:val="0030581E"/>
    <w:rsid w:val="003250B3"/>
    <w:rsid w:val="003360BE"/>
    <w:rsid w:val="00337A43"/>
    <w:rsid w:val="0036146C"/>
    <w:rsid w:val="003741CD"/>
    <w:rsid w:val="003A6BD1"/>
    <w:rsid w:val="003B5FEE"/>
    <w:rsid w:val="003B7ABB"/>
    <w:rsid w:val="003D2A14"/>
    <w:rsid w:val="003D5FA2"/>
    <w:rsid w:val="003E2119"/>
    <w:rsid w:val="004018C0"/>
    <w:rsid w:val="00436836"/>
    <w:rsid w:val="00444F59"/>
    <w:rsid w:val="00472573"/>
    <w:rsid w:val="0047462C"/>
    <w:rsid w:val="00474B9C"/>
    <w:rsid w:val="00480C91"/>
    <w:rsid w:val="00483F8F"/>
    <w:rsid w:val="004A5E1B"/>
    <w:rsid w:val="004A7A4C"/>
    <w:rsid w:val="004C618D"/>
    <w:rsid w:val="004D47BA"/>
    <w:rsid w:val="004E6CB5"/>
    <w:rsid w:val="004F0DDB"/>
    <w:rsid w:val="004F5F01"/>
    <w:rsid w:val="00504EBC"/>
    <w:rsid w:val="005231E2"/>
    <w:rsid w:val="00571A72"/>
    <w:rsid w:val="00583A94"/>
    <w:rsid w:val="005A4CF8"/>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3502C"/>
    <w:rsid w:val="00742F4D"/>
    <w:rsid w:val="007438F8"/>
    <w:rsid w:val="007469BE"/>
    <w:rsid w:val="00754072"/>
    <w:rsid w:val="00797ACB"/>
    <w:rsid w:val="007B0814"/>
    <w:rsid w:val="007E3DFF"/>
    <w:rsid w:val="007E6B8C"/>
    <w:rsid w:val="00810DB7"/>
    <w:rsid w:val="008241F3"/>
    <w:rsid w:val="00830DB2"/>
    <w:rsid w:val="00834AF5"/>
    <w:rsid w:val="0084108C"/>
    <w:rsid w:val="008437A0"/>
    <w:rsid w:val="0084606C"/>
    <w:rsid w:val="00885C07"/>
    <w:rsid w:val="008872D0"/>
    <w:rsid w:val="008944C0"/>
    <w:rsid w:val="008B2652"/>
    <w:rsid w:val="008C77D7"/>
    <w:rsid w:val="008F40A9"/>
    <w:rsid w:val="009000ED"/>
    <w:rsid w:val="00902D00"/>
    <w:rsid w:val="00903E99"/>
    <w:rsid w:val="00917CD3"/>
    <w:rsid w:val="00924F94"/>
    <w:rsid w:val="00945814"/>
    <w:rsid w:val="009563AB"/>
    <w:rsid w:val="00957EE7"/>
    <w:rsid w:val="00964658"/>
    <w:rsid w:val="009845D9"/>
    <w:rsid w:val="00990F67"/>
    <w:rsid w:val="009A3A1B"/>
    <w:rsid w:val="009B3C12"/>
    <w:rsid w:val="009B49F7"/>
    <w:rsid w:val="009D0173"/>
    <w:rsid w:val="009E2C25"/>
    <w:rsid w:val="00A24916"/>
    <w:rsid w:val="00A52838"/>
    <w:rsid w:val="00A74409"/>
    <w:rsid w:val="00AA00F7"/>
    <w:rsid w:val="00AB4F7E"/>
    <w:rsid w:val="00AC47B8"/>
    <w:rsid w:val="00B120B9"/>
    <w:rsid w:val="00B25196"/>
    <w:rsid w:val="00B26A21"/>
    <w:rsid w:val="00B33801"/>
    <w:rsid w:val="00B36CF2"/>
    <w:rsid w:val="00B4621B"/>
    <w:rsid w:val="00B552A0"/>
    <w:rsid w:val="00B644AB"/>
    <w:rsid w:val="00B727F0"/>
    <w:rsid w:val="00B966B4"/>
    <w:rsid w:val="00BA2024"/>
    <w:rsid w:val="00BA484A"/>
    <w:rsid w:val="00BA6149"/>
    <w:rsid w:val="00BB5E42"/>
    <w:rsid w:val="00BC1F19"/>
    <w:rsid w:val="00C1591E"/>
    <w:rsid w:val="00C205E7"/>
    <w:rsid w:val="00C26AB9"/>
    <w:rsid w:val="00C438CE"/>
    <w:rsid w:val="00C519A3"/>
    <w:rsid w:val="00C530A0"/>
    <w:rsid w:val="00C70C22"/>
    <w:rsid w:val="00CA258C"/>
    <w:rsid w:val="00CC2A76"/>
    <w:rsid w:val="00CC2CE9"/>
    <w:rsid w:val="00CD2060"/>
    <w:rsid w:val="00CD7F56"/>
    <w:rsid w:val="00CF10A3"/>
    <w:rsid w:val="00CF3BBE"/>
    <w:rsid w:val="00CF6BDB"/>
    <w:rsid w:val="00D034AD"/>
    <w:rsid w:val="00D14279"/>
    <w:rsid w:val="00D16571"/>
    <w:rsid w:val="00D16A08"/>
    <w:rsid w:val="00D3534E"/>
    <w:rsid w:val="00D35F5A"/>
    <w:rsid w:val="00D41325"/>
    <w:rsid w:val="00D519B7"/>
    <w:rsid w:val="00D54FBE"/>
    <w:rsid w:val="00D744B0"/>
    <w:rsid w:val="00D8414B"/>
    <w:rsid w:val="00DC23D2"/>
    <w:rsid w:val="00DC30DE"/>
    <w:rsid w:val="00DD395C"/>
    <w:rsid w:val="00DD4C33"/>
    <w:rsid w:val="00DD791B"/>
    <w:rsid w:val="00E1275B"/>
    <w:rsid w:val="00E22E55"/>
    <w:rsid w:val="00E3367B"/>
    <w:rsid w:val="00E45804"/>
    <w:rsid w:val="00E45B55"/>
    <w:rsid w:val="00E82BD9"/>
    <w:rsid w:val="00E90B34"/>
    <w:rsid w:val="00E90E0B"/>
    <w:rsid w:val="00E9356C"/>
    <w:rsid w:val="00EA42DD"/>
    <w:rsid w:val="00EA69FB"/>
    <w:rsid w:val="00EE1F6F"/>
    <w:rsid w:val="00F24F16"/>
    <w:rsid w:val="00F33BD8"/>
    <w:rsid w:val="00F37416"/>
    <w:rsid w:val="00F37914"/>
    <w:rsid w:val="00F54C26"/>
    <w:rsid w:val="00F645CF"/>
    <w:rsid w:val="00F65C9B"/>
    <w:rsid w:val="00F77F7B"/>
    <w:rsid w:val="00F86E01"/>
    <w:rsid w:val="00F96169"/>
    <w:rsid w:val="00FA02C9"/>
    <w:rsid w:val="00FA4F59"/>
    <w:rsid w:val="00FB6735"/>
    <w:rsid w:val="00FD22FA"/>
    <w:rsid w:val="00FD6895"/>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11254-04CD-42CA-A80B-DE39ABD1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1927</Characters>
  <Application>Microsoft Office Word</Application>
  <DocSecurity>4</DocSecurity>
  <Lines>16</Lines>
  <Paragraphs>4</Paragraphs>
  <ScaleCrop>false</ScaleCrop>
  <Company>Organization Name</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cp:lastPrinted>2015-12-14T07:02:00Z</cp:lastPrinted>
  <dcterms:created xsi:type="dcterms:W3CDTF">2021-01-20T16:21:00Z</dcterms:created>
  <dcterms:modified xsi:type="dcterms:W3CDTF">2021-01-20T16:21:00Z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