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rsidP="0055509D">
      <w:pPr>
        <w:jc w:val="center"/>
        <w:rPr>
          <w:rFonts w:ascii="宋体" w:hAnsi="宋体" w:hint="eastAsia"/>
          <w:b/>
          <w:sz w:val="48"/>
          <w:szCs w:val="48"/>
        </w:rPr>
      </w:pPr>
      <w:bookmarkStart w:id="0" w:name="t_2_0_table"/>
      <w:bookmarkEnd w:id="0"/>
      <w:r>
        <w:rPr>
          <w:rFonts w:ascii="宋体" w:hAnsi="宋体" w:hint="eastAsia"/>
          <w:b/>
          <w:sz w:val="48"/>
          <w:szCs w:val="48"/>
        </w:rPr>
        <w:t>关于</w:t>
      </w:r>
      <w:r w:rsidR="0055509D" w:rsidRPr="0055509D">
        <w:rPr>
          <w:rFonts w:ascii="宋体" w:hAnsi="宋体" w:hint="eastAsia"/>
          <w:b/>
          <w:sz w:val="48"/>
          <w:szCs w:val="48"/>
        </w:rPr>
        <w:t>华泰柏瑞益商一年定期开放债券型发起式证券投资基金</w:t>
      </w:r>
      <w:r>
        <w:rPr>
          <w:rFonts w:ascii="宋体" w:hAnsi="宋体" w:hint="eastAsia"/>
          <w:b/>
          <w:sz w:val="48"/>
          <w:szCs w:val="48"/>
        </w:rPr>
        <w:t>第</w:t>
      </w:r>
      <w:r w:rsidR="0055509D">
        <w:rPr>
          <w:rFonts w:ascii="宋体" w:hAnsi="宋体" w:hint="eastAsia"/>
          <w:b/>
          <w:sz w:val="48"/>
          <w:szCs w:val="48"/>
        </w:rPr>
        <w:t>一</w:t>
      </w:r>
      <w:r>
        <w:rPr>
          <w:rFonts w:ascii="宋体" w:hAnsi="宋体" w:hint="eastAsia"/>
          <w:b/>
          <w:sz w:val="48"/>
          <w:szCs w:val="48"/>
        </w:rPr>
        <w:t>个开放期开放申购及赎回业务的公告</w:t>
      </w:r>
    </w:p>
    <w:p w:rsidR="00EE4791" w:rsidRDefault="00EE4791">
      <w:pPr>
        <w:jc w:val="center"/>
        <w:rPr>
          <w:rFonts w:ascii="宋体" w:hAnsi="宋体" w:hint="eastAsia"/>
          <w:sz w:val="30"/>
          <w:szCs w:val="30"/>
        </w:rPr>
      </w:pPr>
    </w:p>
    <w:p w:rsidR="00EE4791" w:rsidRDefault="00EE4791">
      <w:pPr>
        <w:jc w:val="center"/>
        <w:rPr>
          <w:rFonts w:ascii="宋体" w:hAnsi="宋体" w:hint="eastAsia"/>
          <w:sz w:val="30"/>
          <w:szCs w:val="30"/>
        </w:rPr>
      </w:pPr>
      <w:bookmarkStart w:id="1" w:name="t_2_0_0002_a2_fm1"/>
      <w:bookmarkEnd w:id="1"/>
    </w:p>
    <w:p w:rsidR="00EE4791" w:rsidRDefault="00EE4791">
      <w:pPr>
        <w:jc w:val="center"/>
        <w:rPr>
          <w:rFonts w:ascii="宋体" w:hAnsi="宋体" w:hint="eastAsia"/>
          <w:sz w:val="30"/>
          <w:szCs w:val="30"/>
        </w:rPr>
      </w:pPr>
    </w:p>
    <w:p w:rsidR="00EE4791" w:rsidRDefault="00EE4791">
      <w:pPr>
        <w:jc w:val="center"/>
        <w:rPr>
          <w:rFonts w:ascii="宋体" w:hAnsi="宋体" w:hint="eastAsia"/>
          <w:sz w:val="30"/>
          <w:szCs w:val="30"/>
        </w:rPr>
      </w:pPr>
    </w:p>
    <w:p w:rsidR="00EE4791" w:rsidRDefault="00EE4791">
      <w:pPr>
        <w:jc w:val="center"/>
        <w:rPr>
          <w:rFonts w:ascii="宋体" w:hAnsi="宋体" w:hint="eastAsia"/>
          <w:sz w:val="30"/>
          <w:szCs w:val="30"/>
        </w:rPr>
      </w:pPr>
    </w:p>
    <w:p w:rsidR="00EE4791" w:rsidRDefault="00EE4791">
      <w:pPr>
        <w:jc w:val="center"/>
        <w:rPr>
          <w:rFonts w:ascii="宋体" w:hAnsi="宋体" w:hint="eastAsia"/>
          <w:sz w:val="30"/>
          <w:szCs w:val="30"/>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Pr>
          <w:rFonts w:ascii="宋体" w:hAnsi="宋体"/>
          <w:b/>
          <w:sz w:val="28"/>
          <w:szCs w:val="28"/>
        </w:rPr>
        <w:t>202</w:t>
      </w:r>
      <w:r w:rsidR="0055509D">
        <w:rPr>
          <w:rFonts w:ascii="宋体" w:hAnsi="宋体" w:hint="eastAsia"/>
          <w:b/>
          <w:sz w:val="28"/>
          <w:szCs w:val="28"/>
        </w:rPr>
        <w:t>1</w:t>
      </w:r>
      <w:r>
        <w:rPr>
          <w:rFonts w:ascii="宋体" w:hAnsi="宋体"/>
          <w:b/>
          <w:sz w:val="28"/>
          <w:szCs w:val="28"/>
        </w:rPr>
        <w:t>年</w:t>
      </w:r>
      <w:r w:rsidR="0055509D">
        <w:rPr>
          <w:rFonts w:ascii="宋体" w:hAnsi="宋体" w:hint="eastAsia"/>
          <w:b/>
          <w:sz w:val="28"/>
          <w:szCs w:val="28"/>
        </w:rPr>
        <w:t>1</w:t>
      </w:r>
      <w:r>
        <w:rPr>
          <w:rFonts w:ascii="宋体" w:hAnsi="宋体"/>
          <w:b/>
          <w:sz w:val="28"/>
          <w:szCs w:val="28"/>
        </w:rPr>
        <w:t>月</w:t>
      </w:r>
      <w:r w:rsidR="0055509D">
        <w:rPr>
          <w:rFonts w:ascii="宋体" w:hAnsi="宋体" w:hint="eastAsia"/>
          <w:b/>
          <w:sz w:val="28"/>
          <w:szCs w:val="28"/>
        </w:rPr>
        <w:t>15</w:t>
      </w:r>
      <w:r>
        <w:rPr>
          <w:rFonts w:ascii="宋体" w:hAnsi="宋体"/>
          <w:b/>
          <w:sz w:val="28"/>
          <w:szCs w:val="28"/>
        </w:rPr>
        <w:t>日</w:t>
      </w: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sz w:val="24"/>
        </w:rPr>
      </w:pPr>
    </w:p>
    <w:p w:rsidR="00EE4791" w:rsidRDefault="00EE4791">
      <w:pPr>
        <w:rPr>
          <w:rFonts w:hint="eastAsia"/>
        </w:rPr>
      </w:pPr>
    </w:p>
    <w:p w:rsidR="00EE4791" w:rsidRDefault="00EE4791">
      <w:pPr>
        <w:pStyle w:val="2"/>
        <w:numPr>
          <w:ilvl w:val="0"/>
          <w:numId w:val="1"/>
        </w:numPr>
        <w:spacing w:beforeLines="50" w:afterLines="50" w:line="240" w:lineRule="auto"/>
        <w:rPr>
          <w:rFonts w:ascii="宋体" w:eastAsia="宋体" w:hAnsi="宋体" w:hint="eastAsia"/>
          <w:bCs/>
          <w:sz w:val="24"/>
          <w:szCs w:val="24"/>
        </w:rPr>
      </w:pPr>
      <w:bookmarkStart w:id="3" w:name="m01"/>
      <w:bookmarkStart w:id="4" w:name="t_2_1_table"/>
      <w:bookmarkEnd w:id="4"/>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5220"/>
      </w:tblGrid>
      <w:tr w:rsidR="00EE4791">
        <w:tc>
          <w:tcPr>
            <w:tcW w:w="3600" w:type="dxa"/>
          </w:tcPr>
          <w:p w:rsidR="00EE4791" w:rsidRDefault="00EE4791">
            <w:pPr>
              <w:rPr>
                <w:rFonts w:ascii="宋体" w:hAnsi="宋体" w:hint="eastAsia"/>
                <w:szCs w:val="21"/>
              </w:rPr>
            </w:pPr>
            <w:bookmarkStart w:id="5" w:name="m01_tab"/>
            <w:r>
              <w:rPr>
                <w:rFonts w:ascii="宋体" w:hAnsi="宋体" w:hint="eastAsia"/>
                <w:szCs w:val="21"/>
              </w:rPr>
              <w:t>基金名称</w:t>
            </w:r>
          </w:p>
        </w:tc>
        <w:tc>
          <w:tcPr>
            <w:tcW w:w="5220" w:type="dxa"/>
          </w:tcPr>
          <w:p w:rsidR="00EE4791" w:rsidRDefault="0055509D">
            <w:pPr>
              <w:rPr>
                <w:rFonts w:ascii="宋体" w:hAnsi="宋体" w:hint="eastAsia"/>
                <w:szCs w:val="21"/>
              </w:rPr>
            </w:pPr>
            <w:bookmarkStart w:id="6" w:name="t_2_1_0009_a1_fm1"/>
            <w:bookmarkEnd w:id="6"/>
            <w:r>
              <w:t>华泰柏瑞益商一年定期开放债券型发起式证券投资基金</w:t>
            </w:r>
          </w:p>
        </w:tc>
      </w:tr>
      <w:tr w:rsidR="00EE4791">
        <w:tc>
          <w:tcPr>
            <w:tcW w:w="3600" w:type="dxa"/>
          </w:tcPr>
          <w:p w:rsidR="00EE4791" w:rsidRDefault="00EE4791">
            <w:pPr>
              <w:rPr>
                <w:rFonts w:ascii="宋体" w:hAnsi="宋体" w:hint="eastAsia"/>
                <w:szCs w:val="21"/>
              </w:rPr>
            </w:pPr>
            <w:r>
              <w:rPr>
                <w:rFonts w:ascii="宋体" w:hAnsi="宋体" w:hint="eastAsia"/>
                <w:szCs w:val="21"/>
              </w:rPr>
              <w:t>基金简称</w:t>
            </w:r>
          </w:p>
        </w:tc>
        <w:tc>
          <w:tcPr>
            <w:tcW w:w="5220" w:type="dxa"/>
          </w:tcPr>
          <w:p w:rsidR="00EE4791" w:rsidRDefault="0055509D">
            <w:pPr>
              <w:rPr>
                <w:rFonts w:ascii="宋体" w:hAnsi="宋体" w:hint="eastAsia"/>
                <w:szCs w:val="21"/>
              </w:rPr>
            </w:pPr>
            <w:bookmarkStart w:id="7" w:name="t_2_1_0011_a1_fm1"/>
            <w:bookmarkEnd w:id="7"/>
            <w:r>
              <w:t>华泰柏瑞益商一年定开债券</w:t>
            </w:r>
          </w:p>
        </w:tc>
      </w:tr>
      <w:tr w:rsidR="00EE4791">
        <w:tc>
          <w:tcPr>
            <w:tcW w:w="3600" w:type="dxa"/>
          </w:tcPr>
          <w:p w:rsidR="00EE4791" w:rsidRDefault="00EE4791">
            <w:pPr>
              <w:rPr>
                <w:rFonts w:ascii="宋体" w:hAnsi="宋体" w:hint="eastAsia"/>
                <w:szCs w:val="21"/>
              </w:rPr>
            </w:pPr>
            <w:r>
              <w:rPr>
                <w:rFonts w:ascii="宋体" w:hAnsi="宋体" w:hint="eastAsia"/>
                <w:szCs w:val="21"/>
              </w:rPr>
              <w:t>基金主代码</w:t>
            </w:r>
          </w:p>
        </w:tc>
        <w:tc>
          <w:tcPr>
            <w:tcW w:w="5220" w:type="dxa"/>
          </w:tcPr>
          <w:p w:rsidR="00EE4791" w:rsidRDefault="0055509D">
            <w:pPr>
              <w:rPr>
                <w:rFonts w:ascii="宋体" w:hAnsi="宋体" w:hint="eastAsia"/>
                <w:szCs w:val="21"/>
              </w:rPr>
            </w:pPr>
            <w:bookmarkStart w:id="8" w:name="t_2_1_0012_a1_fm1"/>
            <w:bookmarkEnd w:id="8"/>
            <w:r>
              <w:rPr>
                <w:rFonts w:ascii="宋体" w:hAnsi="宋体" w:hint="eastAsia"/>
                <w:szCs w:val="21"/>
              </w:rPr>
              <w:t>008650</w:t>
            </w:r>
          </w:p>
        </w:tc>
      </w:tr>
      <w:tr w:rsidR="00EE4791">
        <w:tc>
          <w:tcPr>
            <w:tcW w:w="3600" w:type="dxa"/>
          </w:tcPr>
          <w:p w:rsidR="00EE4791" w:rsidRDefault="00EE4791">
            <w:pPr>
              <w:rPr>
                <w:rFonts w:ascii="宋体" w:hAnsi="宋体" w:hint="eastAsia"/>
                <w:szCs w:val="21"/>
              </w:rPr>
            </w:pPr>
            <w:r>
              <w:rPr>
                <w:rFonts w:ascii="宋体" w:hAnsi="宋体" w:hint="eastAsia"/>
                <w:szCs w:val="21"/>
              </w:rPr>
              <w:t>基金运作方式</w:t>
            </w:r>
          </w:p>
        </w:tc>
        <w:tc>
          <w:tcPr>
            <w:tcW w:w="5220" w:type="dxa"/>
          </w:tcPr>
          <w:p w:rsidR="00EE4791" w:rsidRDefault="00EE4791">
            <w:pPr>
              <w:rPr>
                <w:rFonts w:ascii="宋体" w:hAnsi="宋体" w:hint="eastAsia"/>
                <w:szCs w:val="21"/>
              </w:rPr>
            </w:pPr>
            <w:bookmarkStart w:id="9" w:name="t_2_1_0017_a1_fm1"/>
            <w:bookmarkEnd w:id="9"/>
            <w:r>
              <w:rPr>
                <w:rFonts w:ascii="宋体" w:hAnsi="宋体" w:hint="eastAsia"/>
                <w:szCs w:val="21"/>
              </w:rPr>
              <w:t>契约型定期开放式，发起式</w:t>
            </w:r>
          </w:p>
        </w:tc>
      </w:tr>
      <w:tr w:rsidR="00EE4791">
        <w:tc>
          <w:tcPr>
            <w:tcW w:w="3600" w:type="dxa"/>
          </w:tcPr>
          <w:p w:rsidR="00EE4791" w:rsidRDefault="00EE4791">
            <w:pPr>
              <w:rPr>
                <w:rFonts w:ascii="宋体" w:hAnsi="宋体" w:hint="eastAsia"/>
                <w:szCs w:val="21"/>
              </w:rPr>
            </w:pPr>
            <w:r>
              <w:rPr>
                <w:rFonts w:ascii="宋体" w:hAnsi="宋体" w:hint="eastAsia"/>
                <w:szCs w:val="21"/>
              </w:rPr>
              <w:t>基金合同生效日</w:t>
            </w:r>
          </w:p>
        </w:tc>
        <w:tc>
          <w:tcPr>
            <w:tcW w:w="5220" w:type="dxa"/>
          </w:tcPr>
          <w:p w:rsidR="00EE4791" w:rsidRDefault="0055509D" w:rsidP="0055509D">
            <w:pPr>
              <w:rPr>
                <w:rFonts w:ascii="宋体" w:hAnsi="宋体" w:hint="eastAsia"/>
                <w:szCs w:val="21"/>
              </w:rPr>
            </w:pPr>
            <w:bookmarkStart w:id="10" w:name="t_2_1_0018_a1_fm1"/>
            <w:bookmarkEnd w:id="10"/>
            <w:r>
              <w:rPr>
                <w:rFonts w:ascii="宋体" w:hAnsi="宋体"/>
                <w:szCs w:val="21"/>
              </w:rPr>
              <w:t>20</w:t>
            </w:r>
            <w:r>
              <w:rPr>
                <w:rFonts w:ascii="宋体" w:hAnsi="宋体" w:hint="eastAsia"/>
                <w:szCs w:val="21"/>
              </w:rPr>
              <w:t>20</w:t>
            </w:r>
            <w:r w:rsidR="00EE4791">
              <w:rPr>
                <w:rFonts w:ascii="宋体" w:hAnsi="宋体"/>
                <w:szCs w:val="21"/>
              </w:rPr>
              <w:t>年1月</w:t>
            </w:r>
            <w:r>
              <w:rPr>
                <w:rFonts w:ascii="宋体" w:hAnsi="宋体" w:hint="eastAsia"/>
                <w:szCs w:val="21"/>
              </w:rPr>
              <w:t>20</w:t>
            </w:r>
            <w:r w:rsidR="00EE4791">
              <w:rPr>
                <w:rFonts w:ascii="宋体" w:hAnsi="宋体"/>
                <w:szCs w:val="21"/>
              </w:rPr>
              <w:t>日</w:t>
            </w:r>
          </w:p>
        </w:tc>
      </w:tr>
      <w:tr w:rsidR="00EE4791">
        <w:tc>
          <w:tcPr>
            <w:tcW w:w="3600" w:type="dxa"/>
          </w:tcPr>
          <w:p w:rsidR="00EE4791" w:rsidRDefault="00EE4791">
            <w:pPr>
              <w:rPr>
                <w:rFonts w:ascii="宋体" w:hAnsi="宋体" w:hint="eastAsia"/>
                <w:szCs w:val="21"/>
              </w:rPr>
            </w:pPr>
            <w:r>
              <w:rPr>
                <w:rFonts w:ascii="宋体" w:hAnsi="宋体" w:hint="eastAsia"/>
                <w:szCs w:val="21"/>
              </w:rPr>
              <w:t>基金管理人名称</w:t>
            </w:r>
          </w:p>
        </w:tc>
        <w:tc>
          <w:tcPr>
            <w:tcW w:w="5220" w:type="dxa"/>
          </w:tcPr>
          <w:p w:rsidR="00EE4791" w:rsidRDefault="00EE4791">
            <w:pPr>
              <w:rPr>
                <w:rFonts w:ascii="宋体" w:hAnsi="宋体" w:hint="eastAsia"/>
                <w:szCs w:val="21"/>
              </w:rPr>
            </w:pPr>
            <w:bookmarkStart w:id="11" w:name="t_2_1_0186_a1_fm1"/>
            <w:bookmarkEnd w:id="11"/>
            <w:r>
              <w:rPr>
                <w:rFonts w:ascii="宋体" w:hAnsi="宋体" w:hint="eastAsia"/>
                <w:szCs w:val="21"/>
              </w:rPr>
              <w:t>华泰柏瑞基金管理有限公司</w:t>
            </w:r>
          </w:p>
        </w:tc>
      </w:tr>
      <w:tr w:rsidR="00EE4791">
        <w:tc>
          <w:tcPr>
            <w:tcW w:w="3600" w:type="dxa"/>
          </w:tcPr>
          <w:p w:rsidR="00EE4791" w:rsidRDefault="00EE4791">
            <w:pPr>
              <w:rPr>
                <w:rFonts w:ascii="宋体" w:hAnsi="宋体" w:hint="eastAsia"/>
                <w:szCs w:val="21"/>
              </w:rPr>
            </w:pPr>
            <w:r>
              <w:rPr>
                <w:rFonts w:ascii="宋体" w:hAnsi="宋体" w:hint="eastAsia"/>
                <w:szCs w:val="21"/>
              </w:rPr>
              <w:t>基金托管人名称</w:t>
            </w:r>
          </w:p>
        </w:tc>
        <w:tc>
          <w:tcPr>
            <w:tcW w:w="5220" w:type="dxa"/>
          </w:tcPr>
          <w:p w:rsidR="00EE4791" w:rsidRDefault="0055509D">
            <w:pPr>
              <w:rPr>
                <w:rFonts w:ascii="宋体" w:hAnsi="宋体" w:hint="eastAsia"/>
                <w:szCs w:val="21"/>
              </w:rPr>
            </w:pPr>
            <w:bookmarkStart w:id="12" w:name="t_2_1_0213_a1_fm1"/>
            <w:bookmarkEnd w:id="12"/>
            <w:r>
              <w:rPr>
                <w:rFonts w:ascii="宋体" w:hAnsi="宋体" w:hint="eastAsia"/>
                <w:szCs w:val="21"/>
              </w:rPr>
              <w:t>招商</w:t>
            </w:r>
            <w:r w:rsidR="00EE4791">
              <w:rPr>
                <w:rFonts w:ascii="宋体" w:hAnsi="宋体" w:hint="eastAsia"/>
                <w:szCs w:val="21"/>
              </w:rPr>
              <w:t>银行股份有限公司</w:t>
            </w:r>
          </w:p>
        </w:tc>
      </w:tr>
      <w:tr w:rsidR="00EE4791">
        <w:tc>
          <w:tcPr>
            <w:tcW w:w="3600" w:type="dxa"/>
          </w:tcPr>
          <w:p w:rsidR="00EE4791" w:rsidRDefault="00EE4791">
            <w:pPr>
              <w:rPr>
                <w:rFonts w:ascii="宋体" w:hAnsi="宋体" w:hint="eastAsia"/>
                <w:szCs w:val="21"/>
              </w:rPr>
            </w:pPr>
            <w:r>
              <w:rPr>
                <w:rFonts w:ascii="宋体" w:hAnsi="宋体" w:hint="eastAsia"/>
                <w:szCs w:val="21"/>
              </w:rPr>
              <w:t>基金注册登记机构名称</w:t>
            </w:r>
          </w:p>
        </w:tc>
        <w:tc>
          <w:tcPr>
            <w:tcW w:w="5220" w:type="dxa"/>
          </w:tcPr>
          <w:p w:rsidR="00EE4791" w:rsidRDefault="00EE4791">
            <w:pPr>
              <w:rPr>
                <w:rFonts w:ascii="宋体" w:hAnsi="宋体" w:hint="eastAsia"/>
                <w:szCs w:val="21"/>
              </w:rPr>
            </w:pPr>
            <w:bookmarkStart w:id="13" w:name="t_2_1_0310_a1_fm1"/>
            <w:bookmarkEnd w:id="13"/>
            <w:r>
              <w:rPr>
                <w:rFonts w:ascii="宋体" w:hAnsi="宋体" w:hint="eastAsia"/>
                <w:szCs w:val="21"/>
              </w:rPr>
              <w:t>华泰柏瑞基金管理有限公司</w:t>
            </w:r>
          </w:p>
        </w:tc>
      </w:tr>
      <w:tr w:rsidR="00EE4791">
        <w:tc>
          <w:tcPr>
            <w:tcW w:w="3600" w:type="dxa"/>
          </w:tcPr>
          <w:p w:rsidR="00EE4791" w:rsidRDefault="00EE4791">
            <w:pPr>
              <w:rPr>
                <w:rFonts w:ascii="宋体" w:hAnsi="宋体" w:hint="eastAsia"/>
                <w:szCs w:val="21"/>
              </w:rPr>
            </w:pPr>
            <w:r>
              <w:rPr>
                <w:rFonts w:ascii="宋体" w:hAnsi="宋体" w:hint="eastAsia"/>
                <w:szCs w:val="21"/>
              </w:rPr>
              <w:t>公告依据</w:t>
            </w:r>
          </w:p>
        </w:tc>
        <w:tc>
          <w:tcPr>
            <w:tcW w:w="5220" w:type="dxa"/>
          </w:tcPr>
          <w:p w:rsidR="00EE4791" w:rsidRDefault="00EE4791" w:rsidP="0055509D">
            <w:pPr>
              <w:rPr>
                <w:rFonts w:ascii="宋体" w:hAnsi="宋体" w:hint="eastAsia"/>
                <w:szCs w:val="21"/>
              </w:rPr>
            </w:pPr>
            <w:bookmarkStart w:id="14" w:name="t_2_1_2631_a1_fm1"/>
            <w:bookmarkEnd w:id="14"/>
            <w:r>
              <w:rPr>
                <w:rFonts w:ascii="宋体" w:hAnsi="宋体" w:hint="eastAsia"/>
                <w:szCs w:val="21"/>
              </w:rPr>
              <w:t>《中华人民共和国证券投资基金法》及其配套法规、</w:t>
            </w:r>
            <w:r w:rsidR="0055509D" w:rsidRPr="0055509D">
              <w:rPr>
                <w:rFonts w:ascii="宋体" w:hAnsi="宋体" w:hint="eastAsia"/>
                <w:szCs w:val="21"/>
              </w:rPr>
              <w:t>《公开募集证券投资基金信息披露管理办法》、《华泰柏瑞益商一年定期开放债券型发起式证券投资基金基金合同》、《华泰柏瑞益商一年定期开放债券型发起式证券投资基金招募说明书》</w:t>
            </w:r>
          </w:p>
        </w:tc>
      </w:tr>
      <w:tr w:rsidR="00EE4791">
        <w:tc>
          <w:tcPr>
            <w:tcW w:w="3600" w:type="dxa"/>
          </w:tcPr>
          <w:p w:rsidR="00EE4791" w:rsidRDefault="00EE4791">
            <w:pPr>
              <w:rPr>
                <w:rFonts w:ascii="宋体" w:hAnsi="宋体" w:hint="eastAsia"/>
                <w:szCs w:val="21"/>
              </w:rPr>
            </w:pPr>
            <w:r>
              <w:rPr>
                <w:rFonts w:ascii="宋体" w:hAnsi="宋体" w:hint="eastAsia"/>
                <w:szCs w:val="21"/>
              </w:rPr>
              <w:t>申购起始日</w:t>
            </w:r>
          </w:p>
        </w:tc>
        <w:tc>
          <w:tcPr>
            <w:tcW w:w="5220" w:type="dxa"/>
          </w:tcPr>
          <w:p w:rsidR="00EE4791" w:rsidRDefault="0055509D" w:rsidP="0055509D">
            <w:pPr>
              <w:rPr>
                <w:rFonts w:ascii="宋体" w:hAnsi="宋体" w:hint="eastAsia"/>
                <w:szCs w:val="21"/>
              </w:rPr>
            </w:pPr>
            <w:bookmarkStart w:id="15" w:name="t_2_1_2660_a1_fm1"/>
            <w:bookmarkEnd w:id="15"/>
            <w:r>
              <w:rPr>
                <w:rFonts w:ascii="宋体" w:hAnsi="宋体"/>
                <w:szCs w:val="21"/>
              </w:rPr>
              <w:t>202</w:t>
            </w:r>
            <w:r>
              <w:rPr>
                <w:rFonts w:ascii="宋体" w:hAnsi="宋体" w:hint="eastAsia"/>
                <w:szCs w:val="21"/>
              </w:rPr>
              <w:t>1</w:t>
            </w:r>
            <w:r w:rsidR="00EE4791">
              <w:rPr>
                <w:rFonts w:ascii="宋体" w:hAnsi="宋体"/>
                <w:szCs w:val="21"/>
              </w:rPr>
              <w:t>年</w:t>
            </w:r>
            <w:r>
              <w:rPr>
                <w:rFonts w:ascii="宋体" w:hAnsi="宋体" w:hint="eastAsia"/>
                <w:szCs w:val="21"/>
              </w:rPr>
              <w:t>1</w:t>
            </w:r>
            <w:r w:rsidR="00EE4791">
              <w:rPr>
                <w:rFonts w:ascii="宋体" w:hAnsi="宋体"/>
                <w:szCs w:val="21"/>
              </w:rPr>
              <w:t>月</w:t>
            </w:r>
            <w:r>
              <w:rPr>
                <w:rFonts w:ascii="宋体" w:hAnsi="宋体" w:hint="eastAsia"/>
                <w:szCs w:val="21"/>
              </w:rPr>
              <w:t>20</w:t>
            </w:r>
            <w:r w:rsidR="00EE4791">
              <w:rPr>
                <w:rFonts w:ascii="宋体" w:hAnsi="宋体"/>
                <w:szCs w:val="21"/>
              </w:rPr>
              <w:t>日</w:t>
            </w:r>
          </w:p>
        </w:tc>
      </w:tr>
      <w:tr w:rsidR="00EE4791">
        <w:tc>
          <w:tcPr>
            <w:tcW w:w="3600" w:type="dxa"/>
          </w:tcPr>
          <w:p w:rsidR="00EE4791" w:rsidRDefault="00EE4791">
            <w:pPr>
              <w:rPr>
                <w:rFonts w:ascii="宋体" w:hAnsi="宋体" w:hint="eastAsia"/>
                <w:szCs w:val="21"/>
              </w:rPr>
            </w:pPr>
            <w:r>
              <w:rPr>
                <w:rFonts w:ascii="宋体" w:hAnsi="宋体" w:hint="eastAsia"/>
                <w:szCs w:val="21"/>
              </w:rPr>
              <w:t>赎回起始日</w:t>
            </w:r>
          </w:p>
        </w:tc>
        <w:tc>
          <w:tcPr>
            <w:tcW w:w="5220" w:type="dxa"/>
          </w:tcPr>
          <w:p w:rsidR="00EE4791" w:rsidRDefault="0055509D" w:rsidP="0055509D">
            <w:pPr>
              <w:rPr>
                <w:rFonts w:ascii="宋体" w:hAnsi="宋体" w:hint="eastAsia"/>
                <w:szCs w:val="21"/>
              </w:rPr>
            </w:pPr>
            <w:bookmarkStart w:id="16" w:name="t_2_1_2661_a1_fm1"/>
            <w:bookmarkEnd w:id="16"/>
            <w:r>
              <w:rPr>
                <w:rFonts w:ascii="宋体" w:hAnsi="宋体"/>
                <w:szCs w:val="21"/>
              </w:rPr>
              <w:t>202</w:t>
            </w:r>
            <w:r>
              <w:rPr>
                <w:rFonts w:ascii="宋体" w:hAnsi="宋体" w:hint="eastAsia"/>
                <w:szCs w:val="21"/>
              </w:rPr>
              <w:t>1</w:t>
            </w:r>
            <w:r w:rsidR="00EE4791">
              <w:rPr>
                <w:rFonts w:ascii="宋体" w:hAnsi="宋体"/>
                <w:szCs w:val="21"/>
              </w:rPr>
              <w:t>年</w:t>
            </w:r>
            <w:r>
              <w:rPr>
                <w:rFonts w:ascii="宋体" w:hAnsi="宋体" w:hint="eastAsia"/>
                <w:szCs w:val="21"/>
              </w:rPr>
              <w:t>1</w:t>
            </w:r>
            <w:r w:rsidR="00EE4791">
              <w:rPr>
                <w:rFonts w:ascii="宋体" w:hAnsi="宋体"/>
                <w:szCs w:val="21"/>
              </w:rPr>
              <w:t>月</w:t>
            </w:r>
            <w:r>
              <w:rPr>
                <w:rFonts w:ascii="宋体" w:hAnsi="宋体" w:hint="eastAsia"/>
                <w:szCs w:val="21"/>
              </w:rPr>
              <w:t>20</w:t>
            </w:r>
            <w:r w:rsidR="00EE4791">
              <w:rPr>
                <w:rFonts w:ascii="宋体" w:hAnsi="宋体"/>
                <w:szCs w:val="21"/>
              </w:rPr>
              <w:t>日</w:t>
            </w:r>
          </w:p>
        </w:tc>
      </w:tr>
    </w:tbl>
    <w:p w:rsidR="00EE4791" w:rsidRDefault="00EE4791" w:rsidP="006C44AD">
      <w:pPr>
        <w:spacing w:line="360" w:lineRule="auto"/>
        <w:jc w:val="left"/>
        <w:rPr>
          <w:rFonts w:ascii="宋体" w:hAnsi="宋体" w:hint="eastAsia"/>
          <w:color w:val="0000FF"/>
          <w:kern w:val="0"/>
          <w:sz w:val="18"/>
        </w:rPr>
      </w:pPr>
      <w:bookmarkStart w:id="17" w:name="t_2_1_2645_a1_fm1"/>
      <w:bookmarkEnd w:id="5"/>
      <w:r>
        <w:rPr>
          <w:rFonts w:hint="eastAsia"/>
          <w:szCs w:val="21"/>
        </w:rPr>
        <w:t>注：</w:t>
      </w:r>
      <w:bookmarkEnd w:id="17"/>
      <w:r>
        <w:rPr>
          <w:rFonts w:ascii="宋体" w:hAnsi="宋体" w:hint="eastAsia"/>
          <w:szCs w:val="21"/>
        </w:rPr>
        <w:t>投资者范围：</w:t>
      </w:r>
      <w:r w:rsidR="00435022" w:rsidRPr="00435022">
        <w:rPr>
          <w:rFonts w:ascii="宋体" w:hAnsi="宋体" w:hint="eastAsia"/>
          <w:szCs w:val="21"/>
        </w:rPr>
        <w:t>符合法律法规规定的可投资于证券投资基金的机构投资者、合格境外机构投资者、人民币合格境外机构投资者、发起资金提供方以及法律法规或中国证监会允</w:t>
      </w:r>
      <w:r w:rsidR="00435022">
        <w:t>许购买证券投资基金的其他投资人。</w:t>
      </w:r>
      <w:r w:rsidR="006C44AD" w:rsidRPr="006C44AD">
        <w:rPr>
          <w:rFonts w:ascii="宋体" w:hAnsi="宋体" w:hint="eastAsia"/>
          <w:szCs w:val="21"/>
        </w:rPr>
        <w:t>本基金允许单一投资者持有基金份额比例达到或者超过50%，本基金不向个人投资者公开发售。</w:t>
      </w:r>
      <w:bookmarkEnd w:id="3"/>
    </w:p>
    <w:p w:rsidR="00EE4791" w:rsidRDefault="00EE4791">
      <w:pPr>
        <w:pStyle w:val="2"/>
        <w:numPr>
          <w:ilvl w:val="0"/>
          <w:numId w:val="1"/>
        </w:numPr>
        <w:spacing w:beforeLines="50" w:afterLines="50" w:line="240" w:lineRule="auto"/>
        <w:jc w:val="left"/>
        <w:rPr>
          <w:rFonts w:ascii="宋体" w:eastAsia="宋体" w:hAnsi="宋体" w:hint="eastAsia"/>
          <w:bCs/>
          <w:sz w:val="24"/>
          <w:szCs w:val="24"/>
        </w:rPr>
      </w:pPr>
      <w:bookmarkStart w:id="18" w:name="t_2_2_table"/>
      <w:bookmarkEnd w:id="18"/>
      <w:r>
        <w:rPr>
          <w:rFonts w:ascii="宋体" w:eastAsia="宋体" w:hAnsi="宋体" w:hint="eastAsia"/>
          <w:bCs/>
          <w:sz w:val="24"/>
          <w:szCs w:val="24"/>
        </w:rPr>
        <w:t>日常申购、赎回业务的办理时间</w:t>
      </w:r>
    </w:p>
    <w:p w:rsidR="00EE4791" w:rsidRDefault="00EE4791">
      <w:pPr>
        <w:spacing w:line="360" w:lineRule="auto"/>
        <w:ind w:firstLineChars="200" w:firstLine="420"/>
        <w:rPr>
          <w:rFonts w:ascii="宋体" w:hAnsi="宋体"/>
          <w:szCs w:val="21"/>
        </w:rPr>
      </w:pPr>
      <w:bookmarkStart w:id="19" w:name="t_2_2_2819_a1_fm1"/>
      <w:bookmarkEnd w:id="19"/>
      <w:r>
        <w:rPr>
          <w:rFonts w:ascii="宋体" w:hAnsi="宋体"/>
          <w:szCs w:val="21"/>
        </w:rPr>
        <w:t>1、开放日及开放时间</w:t>
      </w:r>
    </w:p>
    <w:p w:rsidR="00EE4791" w:rsidRDefault="00435022" w:rsidP="00435022">
      <w:pPr>
        <w:spacing w:line="360" w:lineRule="auto"/>
        <w:ind w:firstLineChars="200" w:firstLine="420"/>
        <w:rPr>
          <w:rFonts w:ascii="宋体" w:hAnsi="宋体"/>
          <w:szCs w:val="21"/>
        </w:rPr>
      </w:pPr>
      <w:r w:rsidRPr="00435022">
        <w:rPr>
          <w:rFonts w:ascii="宋体" w:hAnsi="宋体" w:hint="eastAsia"/>
          <w:szCs w:val="21"/>
        </w:rPr>
        <w:t>投资人办理基金份额的</w:t>
      </w:r>
      <w:r>
        <w:rPr>
          <w:rFonts w:ascii="宋体" w:hAnsi="宋体" w:hint="eastAsia"/>
          <w:szCs w:val="21"/>
        </w:rPr>
        <w:t>申购或赎回等业务的开放日为相应开放期的每个工作日。</w:t>
      </w:r>
      <w:r w:rsidR="00EE4791">
        <w:rPr>
          <w:rFonts w:ascii="宋体" w:hAnsi="宋体"/>
          <w:szCs w:val="21"/>
        </w:rPr>
        <w:t>202</w:t>
      </w:r>
      <w:r>
        <w:rPr>
          <w:rFonts w:ascii="宋体" w:hAnsi="宋体" w:hint="eastAsia"/>
          <w:szCs w:val="21"/>
        </w:rPr>
        <w:t>1</w:t>
      </w:r>
      <w:r w:rsidR="00EE4791">
        <w:rPr>
          <w:rFonts w:ascii="宋体" w:hAnsi="宋体"/>
          <w:szCs w:val="21"/>
        </w:rPr>
        <w:t>年</w:t>
      </w:r>
      <w:r>
        <w:rPr>
          <w:rFonts w:ascii="宋体" w:hAnsi="宋体" w:hint="eastAsia"/>
          <w:szCs w:val="21"/>
        </w:rPr>
        <w:t>1</w:t>
      </w:r>
      <w:r w:rsidR="00EE4791">
        <w:rPr>
          <w:rFonts w:ascii="宋体" w:hAnsi="宋体"/>
          <w:szCs w:val="21"/>
        </w:rPr>
        <w:t>月</w:t>
      </w:r>
      <w:r>
        <w:rPr>
          <w:rFonts w:ascii="宋体" w:hAnsi="宋体" w:hint="eastAsia"/>
          <w:szCs w:val="21"/>
        </w:rPr>
        <w:t>20</w:t>
      </w:r>
      <w:r w:rsidR="00EE4791">
        <w:rPr>
          <w:rFonts w:ascii="宋体" w:hAnsi="宋体"/>
          <w:szCs w:val="21"/>
        </w:rPr>
        <w:t>日(含该日)至</w:t>
      </w:r>
      <w:r>
        <w:rPr>
          <w:rFonts w:ascii="宋体" w:hAnsi="宋体"/>
          <w:szCs w:val="21"/>
        </w:rPr>
        <w:t>20</w:t>
      </w:r>
      <w:r>
        <w:rPr>
          <w:rFonts w:ascii="宋体" w:hAnsi="宋体" w:hint="eastAsia"/>
          <w:szCs w:val="21"/>
        </w:rPr>
        <w:t>21</w:t>
      </w:r>
      <w:r w:rsidR="00EE4791">
        <w:rPr>
          <w:rFonts w:ascii="宋体" w:hAnsi="宋体"/>
          <w:szCs w:val="21"/>
        </w:rPr>
        <w:t>年</w:t>
      </w:r>
      <w:r>
        <w:rPr>
          <w:rFonts w:ascii="宋体" w:hAnsi="宋体" w:hint="eastAsia"/>
          <w:szCs w:val="21"/>
        </w:rPr>
        <w:t>1</w:t>
      </w:r>
      <w:r w:rsidR="00EE4791">
        <w:rPr>
          <w:rFonts w:ascii="宋体" w:hAnsi="宋体"/>
          <w:szCs w:val="21"/>
        </w:rPr>
        <w:t>月</w:t>
      </w:r>
      <w:r>
        <w:rPr>
          <w:rFonts w:ascii="宋体" w:hAnsi="宋体" w:hint="eastAsia"/>
          <w:szCs w:val="21"/>
        </w:rPr>
        <w:t>26</w:t>
      </w:r>
      <w:r w:rsidR="00EE4791">
        <w:rPr>
          <w:rFonts w:ascii="宋体" w:hAnsi="宋体"/>
          <w:szCs w:val="21"/>
        </w:rPr>
        <w:t>日（含该日)为本基金</w:t>
      </w:r>
      <w:r>
        <w:rPr>
          <w:rFonts w:ascii="宋体" w:hAnsi="宋体"/>
          <w:szCs w:val="21"/>
        </w:rPr>
        <w:t>第</w:t>
      </w:r>
      <w:r>
        <w:rPr>
          <w:rFonts w:ascii="宋体" w:hAnsi="宋体" w:hint="eastAsia"/>
          <w:szCs w:val="21"/>
        </w:rPr>
        <w:t>一</w:t>
      </w:r>
      <w:r w:rsidR="00EE4791">
        <w:rPr>
          <w:rFonts w:ascii="宋体" w:hAnsi="宋体"/>
          <w:szCs w:val="21"/>
        </w:rPr>
        <w:t>个开放期，</w:t>
      </w:r>
      <w:r w:rsidRPr="00435022">
        <w:rPr>
          <w:rFonts w:ascii="宋体" w:hAnsi="宋体" w:hint="eastAsia"/>
          <w:szCs w:val="21"/>
        </w:rPr>
        <w:t>具体办理时间为上海证券交易所、深圳证券交易所的正常交易日的交易时间，但基金管理人根据法律</w:t>
      </w:r>
      <w:r>
        <w:rPr>
          <w:rFonts w:ascii="宋体" w:hAnsi="宋体" w:hint="eastAsia"/>
          <w:szCs w:val="21"/>
        </w:rPr>
        <w:t>法规、中国证监会的要求或基金合同的规定公告暂停申购、赎回时除外</w:t>
      </w:r>
      <w:r w:rsidR="00EE4791">
        <w:rPr>
          <w:rFonts w:ascii="宋体" w:hAnsi="宋体"/>
          <w:szCs w:val="21"/>
        </w:rPr>
        <w:t>。</w:t>
      </w:r>
    </w:p>
    <w:p w:rsidR="00EE4791" w:rsidRDefault="00EE4791">
      <w:pPr>
        <w:spacing w:line="360" w:lineRule="auto"/>
        <w:ind w:firstLineChars="200" w:firstLine="420"/>
        <w:rPr>
          <w:rFonts w:ascii="宋体" w:hAnsi="宋体" w:hint="eastAsia"/>
          <w:szCs w:val="21"/>
        </w:rPr>
      </w:pPr>
      <w:r>
        <w:rPr>
          <w:rFonts w:ascii="宋体" w:hAnsi="宋体"/>
          <w:szCs w:val="21"/>
        </w:rPr>
        <w:t>基金合同生效后，若出现新的证券交易市场、证券交易所交易时间变更或其他特殊情况，基金管理人将视情况对前述开放日及开放时间进行相应的调整，但应在实施日前依照</w:t>
      </w:r>
      <w:r>
        <w:rPr>
          <w:rFonts w:ascii="宋体" w:hAnsi="宋体" w:hint="eastAsia"/>
          <w:szCs w:val="21"/>
        </w:rPr>
        <w:t>《公开募集证券投资基金信息披露管理办法》（以下简称《信息披露办法》）的有关规定在指定媒介上公告。</w:t>
      </w:r>
    </w:p>
    <w:p w:rsidR="00EE4791" w:rsidRDefault="00EE4791">
      <w:pPr>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申购、赎回开始日及业务办理时间</w:t>
      </w:r>
    </w:p>
    <w:p w:rsidR="00EE4791" w:rsidRDefault="00EE4791">
      <w:pPr>
        <w:spacing w:line="360" w:lineRule="auto"/>
        <w:ind w:firstLineChars="200" w:firstLine="420"/>
        <w:rPr>
          <w:rFonts w:ascii="宋体" w:hAnsi="宋体" w:hint="eastAsia"/>
          <w:szCs w:val="21"/>
        </w:rPr>
      </w:pPr>
      <w:r>
        <w:rPr>
          <w:rFonts w:ascii="宋体" w:hAnsi="宋体" w:hint="eastAsia"/>
          <w:szCs w:val="21"/>
        </w:rPr>
        <w:t>基金管理人不得在基金合同约定之外的日期或者时间办理基金份额的申购或者赎回。在开放</w:t>
      </w:r>
      <w:r>
        <w:rPr>
          <w:rFonts w:ascii="宋体" w:hAnsi="宋体" w:hint="eastAsia"/>
          <w:szCs w:val="21"/>
        </w:rPr>
        <w:lastRenderedPageBreak/>
        <w:t>期内，投资人在基金合同约定之外的日期和时间提出申购或者赎回申请且登记机构确认接受的，其基金份额申购或者赎回价格为下一开放日基金份额申购或者赎回的价格。在开放期最后一个工作日交易时间结束之后提出的相关申请，视为无效申请。</w:t>
      </w:r>
    </w:p>
    <w:p w:rsidR="00EE4791" w:rsidRDefault="00EE4791">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日常申购业务</w:t>
      </w:r>
    </w:p>
    <w:p w:rsidR="00EE4791" w:rsidRDefault="00EE4791">
      <w:pPr>
        <w:numPr>
          <w:ilvl w:val="1"/>
          <w:numId w:val="1"/>
        </w:numPr>
        <w:spacing w:beforeLines="50" w:afterLines="50"/>
        <w:rPr>
          <w:rFonts w:ascii="宋体" w:hAnsi="宋体" w:hint="eastAsia"/>
          <w:b/>
          <w:sz w:val="24"/>
          <w:szCs w:val="20"/>
        </w:rPr>
      </w:pPr>
      <w:bookmarkStart w:id="20" w:name="t_2_3_1_table"/>
      <w:bookmarkEnd w:id="20"/>
      <w:r>
        <w:rPr>
          <w:rFonts w:ascii="宋体" w:hAnsi="宋体" w:hint="eastAsia"/>
          <w:b/>
          <w:sz w:val="24"/>
          <w:szCs w:val="20"/>
        </w:rPr>
        <w:t>申购金额限制</w:t>
      </w:r>
    </w:p>
    <w:p w:rsidR="00EE4791" w:rsidRDefault="00EE4791">
      <w:pPr>
        <w:spacing w:line="360" w:lineRule="auto"/>
        <w:ind w:firstLineChars="200" w:firstLine="420"/>
        <w:jc w:val="left"/>
        <w:rPr>
          <w:rFonts w:ascii="宋体" w:hAnsi="宋体" w:hint="eastAsia"/>
          <w:szCs w:val="21"/>
        </w:rPr>
      </w:pPr>
      <w:bookmarkStart w:id="21" w:name="t_2_3_1_2820_a1_fm1"/>
      <w:bookmarkEnd w:id="21"/>
      <w:r>
        <w:rPr>
          <w:rFonts w:ascii="宋体" w:hAnsi="宋体" w:hint="eastAsia"/>
          <w:szCs w:val="21"/>
        </w:rPr>
        <w:t>1、</w:t>
      </w:r>
      <w:r w:rsidR="00732A62" w:rsidRPr="00732A62">
        <w:rPr>
          <w:rFonts w:ascii="宋体" w:hAnsi="宋体" w:hint="eastAsia"/>
          <w:szCs w:val="21"/>
        </w:rPr>
        <w:t>基金管理人的网上交易系统每个账户首次申购的最低金额为10元人民币，单笔申购的最低金额为10元人民币；直销柜台每个账户首次申购的最低金额为50,000元人民币，已在直销柜台有认/申购本公司旗下基金记录的投资者不受首次申购最低金额的限制，单笔申购的最低金额为10</w:t>
      </w:r>
      <w:r w:rsidR="00732A62">
        <w:rPr>
          <w:rFonts w:ascii="宋体" w:hAnsi="宋体" w:hint="eastAsia"/>
          <w:szCs w:val="21"/>
        </w:rPr>
        <w:t>元人民币</w:t>
      </w:r>
      <w:r>
        <w:rPr>
          <w:rFonts w:ascii="宋体" w:hAnsi="宋体" w:hint="eastAsia"/>
          <w:szCs w:val="21"/>
        </w:rPr>
        <w:t>；代销机构以代销机构的规定为准。</w:t>
      </w:r>
    </w:p>
    <w:p w:rsidR="00EE4791" w:rsidRDefault="00EE4791">
      <w:pPr>
        <w:spacing w:line="360" w:lineRule="auto"/>
        <w:ind w:firstLineChars="200" w:firstLine="420"/>
        <w:jc w:val="left"/>
        <w:rPr>
          <w:rFonts w:ascii="宋体" w:hAnsi="宋体" w:hint="eastAsia"/>
          <w:szCs w:val="21"/>
        </w:rPr>
      </w:pPr>
      <w:r>
        <w:rPr>
          <w:rFonts w:ascii="宋体" w:hAnsi="宋体" w:hint="eastAsia"/>
          <w:szCs w:val="21"/>
        </w:rPr>
        <w:t>2、</w:t>
      </w:r>
      <w:r w:rsidR="00732A62" w:rsidRPr="007B5D65">
        <w:rPr>
          <w:rFonts w:ascii="宋体" w:hAnsi="宋体" w:hint="eastAsia"/>
          <w:szCs w:val="21"/>
        </w:rPr>
        <w:t>除上述情况及另有公告外，基金管理人规定每个基金账户单笔最低申购金额为人民币1元、单笔最低追加申购金额为人民币1元，各销售机构可根据情况设定最低申购金额，但不得低于本基金管理人设定的最低限制，具体以销售机构公布的为准，投资者需遵循销售机构的相关规定</w:t>
      </w:r>
      <w:r>
        <w:rPr>
          <w:rFonts w:ascii="宋体" w:hAnsi="宋体" w:hint="eastAsia"/>
          <w:szCs w:val="21"/>
        </w:rPr>
        <w:t>；</w:t>
      </w:r>
    </w:p>
    <w:p w:rsidR="00EE4791" w:rsidRDefault="00EE4791">
      <w:pPr>
        <w:spacing w:line="360" w:lineRule="auto"/>
        <w:jc w:val="left"/>
        <w:rPr>
          <w:rFonts w:ascii="宋体" w:hAnsi="宋体" w:hint="eastAsia"/>
          <w:szCs w:val="21"/>
        </w:rPr>
      </w:pPr>
      <w:r>
        <w:rPr>
          <w:rFonts w:ascii="宋体" w:hAnsi="宋体" w:hint="eastAsia"/>
          <w:szCs w:val="21"/>
        </w:rPr>
        <w:t xml:space="preserve">    3、</w:t>
      </w:r>
      <w:r w:rsidR="00732A62">
        <w:rPr>
          <w:rFonts w:ascii="宋体" w:hAnsi="宋体"/>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732A62">
        <w:rPr>
          <w:rFonts w:ascii="宋体" w:hAnsi="宋体" w:hint="eastAsia"/>
          <w:szCs w:val="21"/>
        </w:rPr>
        <w:t>。</w:t>
      </w:r>
      <w:r w:rsidR="00732A62">
        <w:rPr>
          <w:rFonts w:ascii="宋体" w:hAnsi="宋体"/>
          <w:szCs w:val="21"/>
        </w:rPr>
        <w:t>基金管理人基于投资运作与风险控制的需要，可采取上述措施对基金规模予以控制。具体见基金管理人</w:t>
      </w:r>
      <w:r w:rsidR="00732A62">
        <w:rPr>
          <w:rFonts w:ascii="宋体" w:hAnsi="宋体" w:hint="eastAsia"/>
          <w:szCs w:val="21"/>
        </w:rPr>
        <w:t>相关公告。</w:t>
      </w:r>
    </w:p>
    <w:p w:rsidR="00EE4791" w:rsidRDefault="00EE4791">
      <w:pPr>
        <w:spacing w:line="360" w:lineRule="auto"/>
        <w:ind w:firstLineChars="200" w:firstLine="420"/>
        <w:jc w:val="left"/>
        <w:rPr>
          <w:rFonts w:ascii="宋体" w:hAnsi="宋体" w:hint="eastAsia"/>
          <w:szCs w:val="21"/>
        </w:rPr>
      </w:pPr>
    </w:p>
    <w:p w:rsidR="00EE4791" w:rsidRDefault="00EE4791">
      <w:pPr>
        <w:numPr>
          <w:ilvl w:val="1"/>
          <w:numId w:val="1"/>
        </w:numPr>
        <w:spacing w:beforeLines="50" w:afterLines="50"/>
        <w:rPr>
          <w:rFonts w:ascii="宋体" w:hAnsi="宋体" w:hint="eastAsia"/>
          <w:b/>
          <w:sz w:val="24"/>
          <w:szCs w:val="20"/>
        </w:rPr>
      </w:pPr>
      <w:bookmarkStart w:id="22" w:name="t_2_3_2_table"/>
      <w:bookmarkEnd w:id="22"/>
      <w:r>
        <w:rPr>
          <w:rFonts w:ascii="宋体" w:hAnsi="宋体" w:hint="eastAsia"/>
          <w:b/>
          <w:sz w:val="24"/>
          <w:szCs w:val="20"/>
        </w:rPr>
        <w:t>申购费率</w:t>
      </w:r>
      <w:bookmarkStart w:id="23" w:name="t_2_3_2_2842_a1_fm1"/>
      <w:bookmarkEnd w:id="23"/>
    </w:p>
    <w:p w:rsidR="00EE4791" w:rsidRDefault="00EE4791">
      <w:pPr>
        <w:numPr>
          <w:ilvl w:val="2"/>
          <w:numId w:val="1"/>
        </w:numPr>
        <w:spacing w:beforeLines="50" w:afterLines="50"/>
        <w:jc w:val="left"/>
        <w:rPr>
          <w:rFonts w:ascii="宋体" w:hAnsi="宋体"/>
          <w:b/>
          <w:sz w:val="24"/>
          <w:szCs w:val="20"/>
        </w:rPr>
      </w:pPr>
      <w:bookmarkStart w:id="24" w:name="m03_02_01"/>
      <w:r>
        <w:rPr>
          <w:rFonts w:ascii="宋体" w:hAnsi="宋体" w:hint="eastAsia"/>
          <w:b/>
          <w:sz w:val="24"/>
          <w:szCs w:val="20"/>
        </w:rPr>
        <w:t>前端收费</w:t>
      </w:r>
    </w:p>
    <w:tbl>
      <w:tblPr>
        <w:tblW w:w="8296" w:type="dxa"/>
        <w:jc w:val="center"/>
        <w:tblLayout w:type="fixed"/>
        <w:tblLook w:val="04A0"/>
      </w:tblPr>
      <w:tblGrid>
        <w:gridCol w:w="5145"/>
        <w:gridCol w:w="3151"/>
      </w:tblGrid>
      <w:tr w:rsidR="00EE4791">
        <w:trPr>
          <w:trHeight w:val="282"/>
          <w:jc w:val="center"/>
        </w:trPr>
        <w:tc>
          <w:tcPr>
            <w:tcW w:w="5145" w:type="dxa"/>
            <w:tcBorders>
              <w:top w:val="single" w:sz="4" w:space="0" w:color="auto"/>
              <w:left w:val="single" w:sz="4" w:space="0" w:color="auto"/>
              <w:bottom w:val="single" w:sz="4" w:space="0" w:color="auto"/>
              <w:right w:val="single" w:sz="4" w:space="0" w:color="auto"/>
            </w:tcBorders>
          </w:tcPr>
          <w:p w:rsidR="00EE4791" w:rsidRDefault="00EE4791">
            <w:pPr>
              <w:adjustRightInd w:val="0"/>
              <w:snapToGrid w:val="0"/>
              <w:ind w:firstLine="420"/>
              <w:jc w:val="center"/>
              <w:rPr>
                <w:kern w:val="0"/>
                <w:szCs w:val="21"/>
              </w:rPr>
            </w:pPr>
            <w:r>
              <w:rPr>
                <w:szCs w:val="21"/>
              </w:rPr>
              <w:t>申购金额（</w:t>
            </w:r>
            <w:r>
              <w:rPr>
                <w:szCs w:val="21"/>
              </w:rPr>
              <w:t>M</w:t>
            </w:r>
            <w:r>
              <w:rPr>
                <w:szCs w:val="21"/>
              </w:rPr>
              <w:t>，含申购费，元）</w:t>
            </w:r>
          </w:p>
        </w:tc>
        <w:tc>
          <w:tcPr>
            <w:tcW w:w="3151" w:type="dxa"/>
            <w:tcBorders>
              <w:top w:val="single" w:sz="4" w:space="0" w:color="auto"/>
              <w:left w:val="nil"/>
              <w:bottom w:val="single" w:sz="4" w:space="0" w:color="auto"/>
              <w:right w:val="single" w:sz="4" w:space="0" w:color="auto"/>
            </w:tcBorders>
            <w:vAlign w:val="center"/>
          </w:tcPr>
          <w:p w:rsidR="00EE4791" w:rsidRDefault="00EE4791">
            <w:pPr>
              <w:adjustRightInd w:val="0"/>
              <w:snapToGrid w:val="0"/>
              <w:jc w:val="center"/>
              <w:rPr>
                <w:kern w:val="0"/>
                <w:szCs w:val="21"/>
              </w:rPr>
            </w:pPr>
            <w:r>
              <w:rPr>
                <w:kern w:val="0"/>
                <w:szCs w:val="21"/>
              </w:rPr>
              <w:t>申购费率</w:t>
            </w:r>
          </w:p>
        </w:tc>
      </w:tr>
      <w:tr w:rsidR="00EE4791">
        <w:trPr>
          <w:trHeight w:val="340"/>
          <w:jc w:val="center"/>
        </w:trPr>
        <w:tc>
          <w:tcPr>
            <w:tcW w:w="5145" w:type="dxa"/>
            <w:tcBorders>
              <w:top w:val="nil"/>
              <w:left w:val="single" w:sz="4" w:space="0" w:color="auto"/>
              <w:bottom w:val="single" w:sz="4" w:space="0" w:color="auto"/>
              <w:right w:val="single" w:sz="4" w:space="0" w:color="auto"/>
            </w:tcBorders>
            <w:vAlign w:val="center"/>
          </w:tcPr>
          <w:p w:rsidR="00EE4791" w:rsidRDefault="00EE4791">
            <w:pPr>
              <w:snapToGrid w:val="0"/>
              <w:jc w:val="center"/>
              <w:rPr>
                <w:rFonts w:ascii="宋体" w:hAnsi="宋体" w:cs="Calibri"/>
                <w:szCs w:val="21"/>
              </w:rPr>
            </w:pPr>
            <w:r>
              <w:t>M&lt;100</w:t>
            </w:r>
            <w:r>
              <w:t>万</w:t>
            </w:r>
          </w:p>
        </w:tc>
        <w:tc>
          <w:tcPr>
            <w:tcW w:w="3151" w:type="dxa"/>
            <w:tcBorders>
              <w:top w:val="nil"/>
              <w:left w:val="nil"/>
              <w:bottom w:val="single" w:sz="4" w:space="0" w:color="auto"/>
              <w:right w:val="single" w:sz="4" w:space="0" w:color="auto"/>
            </w:tcBorders>
            <w:vAlign w:val="center"/>
          </w:tcPr>
          <w:p w:rsidR="00EE4791" w:rsidRDefault="00EE4791">
            <w:pPr>
              <w:snapToGrid w:val="0"/>
              <w:jc w:val="center"/>
              <w:rPr>
                <w:rFonts w:ascii="宋体" w:hAnsi="宋体" w:cs="Calibri"/>
                <w:szCs w:val="21"/>
              </w:rPr>
            </w:pPr>
            <w:r>
              <w:t>0.80%</w:t>
            </w:r>
          </w:p>
        </w:tc>
      </w:tr>
      <w:tr w:rsidR="00EE4791">
        <w:trPr>
          <w:trHeight w:val="340"/>
          <w:jc w:val="center"/>
        </w:trPr>
        <w:tc>
          <w:tcPr>
            <w:tcW w:w="5145" w:type="dxa"/>
            <w:tcBorders>
              <w:top w:val="nil"/>
              <w:left w:val="single" w:sz="4" w:space="0" w:color="auto"/>
              <w:bottom w:val="single" w:sz="4" w:space="0" w:color="auto"/>
              <w:right w:val="single" w:sz="4" w:space="0" w:color="auto"/>
            </w:tcBorders>
            <w:vAlign w:val="center"/>
          </w:tcPr>
          <w:p w:rsidR="00EE4791" w:rsidRDefault="00EE4791">
            <w:pPr>
              <w:snapToGrid w:val="0"/>
              <w:jc w:val="center"/>
              <w:rPr>
                <w:rFonts w:ascii="宋体" w:hAnsi="宋体" w:cs="Calibri"/>
                <w:szCs w:val="21"/>
              </w:rPr>
            </w:pPr>
            <w:r>
              <w:t>100</w:t>
            </w:r>
            <w:r>
              <w:t>万</w:t>
            </w:r>
            <w:r>
              <w:t>≤M&lt;200</w:t>
            </w:r>
            <w:r>
              <w:t>万</w:t>
            </w:r>
          </w:p>
        </w:tc>
        <w:tc>
          <w:tcPr>
            <w:tcW w:w="3151" w:type="dxa"/>
            <w:tcBorders>
              <w:top w:val="nil"/>
              <w:left w:val="nil"/>
              <w:bottom w:val="single" w:sz="4" w:space="0" w:color="auto"/>
              <w:right w:val="single" w:sz="4" w:space="0" w:color="auto"/>
            </w:tcBorders>
            <w:vAlign w:val="center"/>
          </w:tcPr>
          <w:p w:rsidR="00EE4791" w:rsidRDefault="00EE4791">
            <w:pPr>
              <w:snapToGrid w:val="0"/>
              <w:jc w:val="center"/>
              <w:rPr>
                <w:rFonts w:ascii="宋体" w:hAnsi="宋体" w:cs="Calibri"/>
                <w:szCs w:val="21"/>
              </w:rPr>
            </w:pPr>
            <w:r>
              <w:t>0.50%</w:t>
            </w:r>
          </w:p>
        </w:tc>
      </w:tr>
      <w:tr w:rsidR="00EE4791">
        <w:trPr>
          <w:trHeight w:val="340"/>
          <w:jc w:val="center"/>
        </w:trPr>
        <w:tc>
          <w:tcPr>
            <w:tcW w:w="5145" w:type="dxa"/>
            <w:tcBorders>
              <w:top w:val="nil"/>
              <w:left w:val="single" w:sz="4" w:space="0" w:color="auto"/>
              <w:bottom w:val="single" w:sz="4" w:space="0" w:color="auto"/>
              <w:right w:val="single" w:sz="4" w:space="0" w:color="auto"/>
            </w:tcBorders>
            <w:vAlign w:val="center"/>
          </w:tcPr>
          <w:p w:rsidR="00EE4791" w:rsidRDefault="00EE4791">
            <w:pPr>
              <w:snapToGrid w:val="0"/>
              <w:jc w:val="center"/>
              <w:rPr>
                <w:rFonts w:ascii="宋体" w:hAnsi="宋体"/>
                <w:szCs w:val="20"/>
              </w:rPr>
            </w:pPr>
            <w:r>
              <w:t>200</w:t>
            </w:r>
            <w:r>
              <w:t>万</w:t>
            </w:r>
            <w:r>
              <w:t>≤M&lt;500</w:t>
            </w:r>
            <w:r>
              <w:t>万</w:t>
            </w:r>
          </w:p>
        </w:tc>
        <w:tc>
          <w:tcPr>
            <w:tcW w:w="3151" w:type="dxa"/>
            <w:tcBorders>
              <w:top w:val="nil"/>
              <w:left w:val="nil"/>
              <w:bottom w:val="single" w:sz="4" w:space="0" w:color="auto"/>
              <w:right w:val="single" w:sz="4" w:space="0" w:color="auto"/>
            </w:tcBorders>
            <w:vAlign w:val="center"/>
          </w:tcPr>
          <w:p w:rsidR="00EE4791" w:rsidRDefault="00EE4791">
            <w:pPr>
              <w:snapToGrid w:val="0"/>
              <w:jc w:val="center"/>
              <w:rPr>
                <w:rFonts w:ascii="宋体" w:hAnsi="宋体"/>
                <w:szCs w:val="20"/>
              </w:rPr>
            </w:pPr>
            <w:r>
              <w:t>0.30%</w:t>
            </w:r>
          </w:p>
        </w:tc>
      </w:tr>
      <w:tr w:rsidR="00EE4791">
        <w:trPr>
          <w:trHeight w:val="340"/>
          <w:jc w:val="center"/>
        </w:trPr>
        <w:tc>
          <w:tcPr>
            <w:tcW w:w="5145" w:type="dxa"/>
            <w:tcBorders>
              <w:top w:val="nil"/>
              <w:left w:val="single" w:sz="4" w:space="0" w:color="auto"/>
              <w:bottom w:val="single" w:sz="4" w:space="0" w:color="auto"/>
              <w:right w:val="single" w:sz="4" w:space="0" w:color="auto"/>
            </w:tcBorders>
            <w:vAlign w:val="center"/>
          </w:tcPr>
          <w:p w:rsidR="00EE4791" w:rsidRDefault="00EE4791">
            <w:pPr>
              <w:snapToGrid w:val="0"/>
              <w:jc w:val="center"/>
              <w:rPr>
                <w:rFonts w:ascii="宋体" w:hAnsi="宋体" w:cs="Calibri"/>
                <w:szCs w:val="21"/>
              </w:rPr>
            </w:pPr>
            <w:r>
              <w:t>M≥500</w:t>
            </w:r>
            <w:r>
              <w:t>万</w:t>
            </w:r>
          </w:p>
        </w:tc>
        <w:tc>
          <w:tcPr>
            <w:tcW w:w="3151" w:type="dxa"/>
            <w:tcBorders>
              <w:top w:val="nil"/>
              <w:left w:val="nil"/>
              <w:bottom w:val="single" w:sz="4" w:space="0" w:color="auto"/>
              <w:right w:val="single" w:sz="4" w:space="0" w:color="auto"/>
            </w:tcBorders>
            <w:vAlign w:val="center"/>
          </w:tcPr>
          <w:p w:rsidR="00EE4791" w:rsidRDefault="00EE4791">
            <w:pPr>
              <w:snapToGrid w:val="0"/>
              <w:jc w:val="center"/>
              <w:rPr>
                <w:rFonts w:ascii="宋体" w:hAnsi="宋体" w:cs="Calibri"/>
                <w:szCs w:val="21"/>
              </w:rPr>
            </w:pPr>
            <w:r>
              <w:t>1000</w:t>
            </w:r>
            <w:r>
              <w:t>元</w:t>
            </w:r>
            <w:r>
              <w:t>/</w:t>
            </w:r>
            <w:r>
              <w:t>笔</w:t>
            </w:r>
          </w:p>
        </w:tc>
      </w:tr>
    </w:tbl>
    <w:p w:rsidR="00EE4791" w:rsidRDefault="00EE4791">
      <w:pPr>
        <w:numPr>
          <w:ilvl w:val="1"/>
          <w:numId w:val="1"/>
        </w:numPr>
        <w:spacing w:beforeLines="50" w:afterLines="50"/>
        <w:jc w:val="left"/>
        <w:rPr>
          <w:rFonts w:ascii="宋体" w:hAnsi="宋体" w:hint="eastAsia"/>
          <w:b/>
          <w:sz w:val="24"/>
          <w:szCs w:val="20"/>
        </w:rPr>
      </w:pPr>
      <w:bookmarkStart w:id="25" w:name="t_2_3_3_table"/>
      <w:bookmarkEnd w:id="24"/>
      <w:bookmarkEnd w:id="25"/>
      <w:r>
        <w:rPr>
          <w:rFonts w:ascii="宋体" w:hAnsi="宋体" w:hint="eastAsia"/>
          <w:b/>
          <w:sz w:val="24"/>
          <w:szCs w:val="20"/>
        </w:rPr>
        <w:t>其他与申购相关的事项</w:t>
      </w:r>
    </w:p>
    <w:p w:rsidR="00732A62" w:rsidRDefault="00732A62" w:rsidP="00732A62">
      <w:pPr>
        <w:adjustRightInd w:val="0"/>
        <w:snapToGrid w:val="0"/>
        <w:spacing w:beforeLines="50" w:line="360" w:lineRule="auto"/>
        <w:rPr>
          <w:rFonts w:ascii="宋体" w:hAnsi="宋体"/>
          <w:szCs w:val="21"/>
        </w:rPr>
      </w:pPr>
      <w:bookmarkStart w:id="26" w:name="t_2_3_3_2821_a1_fm1"/>
      <w:bookmarkEnd w:id="26"/>
      <w:r>
        <w:rPr>
          <w:rFonts w:ascii="宋体" w:hAnsi="宋体" w:hint="eastAsia"/>
          <w:szCs w:val="21"/>
        </w:rPr>
        <w:t xml:space="preserve">    </w:t>
      </w:r>
      <w:r>
        <w:rPr>
          <w:rFonts w:ascii="宋体" w:hAnsi="宋体"/>
          <w:szCs w:val="21"/>
        </w:rPr>
        <w:t>在申购费按金额分档的情况下，如果投资者多次申购，申购费适用单笔申购金额所对应的费率。本基金的申购费用由申购人承担，主要用于本基金的市场推广、销售、注册登记等各项费用，不列入基金财产。</w:t>
      </w:r>
    </w:p>
    <w:p w:rsidR="00732A62" w:rsidRDefault="00732A62">
      <w:pPr>
        <w:spacing w:line="360" w:lineRule="auto"/>
        <w:ind w:firstLineChars="200" w:firstLine="420"/>
        <w:jc w:val="left"/>
        <w:rPr>
          <w:rFonts w:ascii="宋体" w:hAnsi="宋体" w:hint="eastAsia"/>
          <w:szCs w:val="21"/>
        </w:rPr>
      </w:pPr>
      <w:r w:rsidRPr="00732A62">
        <w:rPr>
          <w:rFonts w:ascii="宋体" w:hAnsi="宋体" w:hint="eastAsia"/>
          <w:szCs w:val="21"/>
        </w:rPr>
        <w:t>基金管理人可在法律法规允许的情况下，调整上述规定申购金额的数量限制。基金管理人必须在调整前依照《信息披露办法》的有关规定在指定媒介上公告。</w:t>
      </w:r>
    </w:p>
    <w:p w:rsidR="00EE4791" w:rsidRDefault="00732A62">
      <w:pPr>
        <w:spacing w:line="360" w:lineRule="auto"/>
        <w:ind w:firstLineChars="200" w:firstLine="420"/>
        <w:jc w:val="left"/>
        <w:rPr>
          <w:rFonts w:ascii="宋体" w:hAnsi="宋体" w:hint="eastAsia"/>
          <w:szCs w:val="21"/>
        </w:rPr>
      </w:pPr>
      <w:r w:rsidRPr="00732A62">
        <w:rPr>
          <w:rFonts w:ascii="宋体" w:hAnsi="宋体" w:hint="eastAsia"/>
          <w:szCs w:val="21"/>
        </w:rPr>
        <w:lastRenderedPageBreak/>
        <w:t>基金管理人可以在法律法规和基金合同规定范围内调整申购费率或收费方式，并最迟应于新的费率或收费方式实施日前依照《信息披露办法》的有关规定在指定媒介上刊登公告。</w:t>
      </w:r>
    </w:p>
    <w:p w:rsidR="00EE4791" w:rsidRDefault="00EE4791">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日常赎回业务</w:t>
      </w:r>
    </w:p>
    <w:p w:rsidR="00EE4791" w:rsidRDefault="00EE4791">
      <w:pPr>
        <w:pStyle w:val="2"/>
        <w:numPr>
          <w:ilvl w:val="1"/>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赎回份额限制</w:t>
      </w:r>
    </w:p>
    <w:p w:rsidR="00EE4791" w:rsidRDefault="00EE4791">
      <w:pPr>
        <w:spacing w:line="360" w:lineRule="auto"/>
        <w:ind w:firstLineChars="200" w:firstLine="420"/>
        <w:jc w:val="left"/>
        <w:rPr>
          <w:rFonts w:ascii="宋体" w:hAnsi="宋体" w:hint="eastAsia"/>
          <w:szCs w:val="21"/>
        </w:rPr>
      </w:pPr>
      <w:bookmarkStart w:id="27" w:name="t_2_4_1_2822_a1_fm1"/>
      <w:bookmarkEnd w:id="27"/>
      <w:r>
        <w:rPr>
          <w:rFonts w:ascii="宋体" w:hAnsi="宋体" w:hint="eastAsia"/>
          <w:szCs w:val="21"/>
        </w:rPr>
        <w:t>1、</w:t>
      </w:r>
      <w:r w:rsidR="00732A62" w:rsidRPr="007B5D65">
        <w:rPr>
          <w:rFonts w:ascii="宋体" w:hAnsi="宋体" w:hint="eastAsia"/>
          <w:szCs w:val="21"/>
        </w:rPr>
        <w:t>基金份额持有人可将其全部或部分基金份额赎回，但某笔赎回导致单个基金账户的基金份额余额少于1份时，余额部分基金份额必须一同赎回；基金管理人的网上交易系统和直销柜台赎回申请的最低份额为10份，但基金份额持有人单个基金账户内的基金份额余额少于10份并申请全部赎回时，可不受前述最低 10 份的申请限制；赎回申请的具体处理结果以注册登记中心确认结果为准</w:t>
      </w:r>
      <w:r>
        <w:rPr>
          <w:rFonts w:ascii="宋体" w:hAnsi="宋体" w:hint="eastAsia"/>
          <w:szCs w:val="21"/>
        </w:rPr>
        <w:t>；</w:t>
      </w:r>
    </w:p>
    <w:p w:rsidR="00EE4791" w:rsidRDefault="00EE4791">
      <w:pPr>
        <w:spacing w:line="360" w:lineRule="auto"/>
        <w:ind w:firstLineChars="200" w:firstLine="420"/>
        <w:jc w:val="left"/>
        <w:rPr>
          <w:rFonts w:ascii="宋体" w:hAnsi="宋体" w:hint="eastAsia"/>
          <w:szCs w:val="21"/>
        </w:rPr>
      </w:pPr>
      <w:r>
        <w:rPr>
          <w:rFonts w:ascii="宋体" w:hAnsi="宋体" w:hint="eastAsia"/>
          <w:szCs w:val="21"/>
        </w:rPr>
        <w:t>2、</w:t>
      </w:r>
      <w:r w:rsidR="00732A62" w:rsidRPr="007B5D65">
        <w:rPr>
          <w:rFonts w:ascii="宋体" w:hAnsi="宋体" w:hint="eastAsia"/>
          <w:szCs w:val="21"/>
        </w:rPr>
        <w:t>除上述情况及另有公告外，基金管理人规定每个基金账户单笔最低赎回份额为1份、单个基金账户最低持有份额为1份，各销售机构可根据情况设定最低赎回份额以及最低持有份额，但不得低于本基金管理人设定的最低</w:t>
      </w:r>
      <w:r w:rsidR="00732A62">
        <w:rPr>
          <w:rFonts w:ascii="宋体" w:hAnsi="宋体" w:hint="eastAsia"/>
          <w:szCs w:val="21"/>
        </w:rPr>
        <w:t>限制，具体以销售机构公布的为准，投资者需遵循销售机构的相关规定</w:t>
      </w:r>
      <w:r>
        <w:rPr>
          <w:rFonts w:ascii="宋体" w:hAnsi="宋体" w:hint="eastAsia"/>
          <w:szCs w:val="21"/>
        </w:rPr>
        <w:t>。</w:t>
      </w:r>
    </w:p>
    <w:p w:rsidR="00EE4791" w:rsidRDefault="00EE4791">
      <w:pPr>
        <w:pStyle w:val="2"/>
        <w:numPr>
          <w:ilvl w:val="1"/>
          <w:numId w:val="1"/>
        </w:numPr>
        <w:spacing w:beforeLines="50" w:afterLines="50" w:line="240" w:lineRule="auto"/>
        <w:jc w:val="left"/>
        <w:rPr>
          <w:rFonts w:ascii="宋体" w:eastAsia="宋体" w:hAnsi="宋体" w:hint="eastAsia"/>
          <w:bCs/>
          <w:sz w:val="24"/>
          <w:szCs w:val="24"/>
        </w:rPr>
      </w:pPr>
      <w:bookmarkStart w:id="28" w:name="t_2_4_2_table"/>
      <w:bookmarkStart w:id="29" w:name="m04_02"/>
      <w:bookmarkEnd w:id="28"/>
      <w:r>
        <w:rPr>
          <w:rFonts w:ascii="宋体" w:eastAsia="宋体" w:hAnsi="宋体" w:hint="eastAsia"/>
          <w:bCs/>
          <w:sz w:val="24"/>
          <w:szCs w:val="24"/>
        </w:rPr>
        <w:t>赎回费率</w:t>
      </w:r>
    </w:p>
    <w:p w:rsidR="00EE4791" w:rsidRDefault="00EE4791">
      <w:pPr>
        <w:spacing w:line="360" w:lineRule="auto"/>
        <w:ind w:firstLineChars="200" w:firstLine="420"/>
        <w:jc w:val="left"/>
        <w:rPr>
          <w:rFonts w:ascii="宋体" w:hAnsi="宋体" w:hint="eastAsia"/>
          <w:szCs w:val="21"/>
        </w:rPr>
      </w:pPr>
      <w:bookmarkStart w:id="30" w:name="t_2_4_2_2843_a1_fm1"/>
      <w:bookmarkStart w:id="31" w:name="m03_02_02"/>
      <w:bookmarkEnd w:id="30"/>
      <w:r>
        <w:rPr>
          <w:rFonts w:ascii="宋体" w:hAnsi="宋体" w:hint="eastAsia"/>
          <w:szCs w:val="21"/>
        </w:rPr>
        <w:t>本基金基金份额的赎回费率具体如下：</w:t>
      </w:r>
    </w:p>
    <w:tbl>
      <w:tblPr>
        <w:tblW w:w="8296" w:type="dxa"/>
        <w:jc w:val="center"/>
        <w:tblLayout w:type="fixed"/>
        <w:tblLook w:val="04A0"/>
      </w:tblPr>
      <w:tblGrid>
        <w:gridCol w:w="5145"/>
        <w:gridCol w:w="3151"/>
        <w:tblGridChange w:id="32">
          <w:tblGrid>
            <w:gridCol w:w="5145"/>
            <w:gridCol w:w="3151"/>
          </w:tblGrid>
        </w:tblGridChange>
      </w:tblGrid>
      <w:tr w:rsidR="00EE4791">
        <w:trPr>
          <w:trHeight w:val="282"/>
          <w:jc w:val="center"/>
        </w:trPr>
        <w:tc>
          <w:tcPr>
            <w:tcW w:w="5145" w:type="dxa"/>
            <w:tcBorders>
              <w:top w:val="single" w:sz="4" w:space="0" w:color="auto"/>
              <w:left w:val="single" w:sz="4" w:space="0" w:color="auto"/>
              <w:bottom w:val="single" w:sz="4" w:space="0" w:color="auto"/>
              <w:right w:val="single" w:sz="4" w:space="0" w:color="auto"/>
            </w:tcBorders>
            <w:vAlign w:val="center"/>
          </w:tcPr>
          <w:p w:rsidR="00EE4791" w:rsidRDefault="00EE4791">
            <w:pPr>
              <w:adjustRightInd w:val="0"/>
              <w:snapToGrid w:val="0"/>
              <w:ind w:firstLine="420"/>
              <w:jc w:val="center"/>
              <w:rPr>
                <w:kern w:val="0"/>
                <w:szCs w:val="21"/>
              </w:rPr>
            </w:pPr>
            <w:r>
              <w:rPr>
                <w:bCs/>
              </w:rPr>
              <w:t>持有时间（</w:t>
            </w:r>
            <w:r>
              <w:rPr>
                <w:bCs/>
              </w:rPr>
              <w:t>T</w:t>
            </w:r>
            <w:r>
              <w:rPr>
                <w:bCs/>
              </w:rPr>
              <w:t>）</w:t>
            </w:r>
          </w:p>
        </w:tc>
        <w:tc>
          <w:tcPr>
            <w:tcW w:w="3151" w:type="dxa"/>
            <w:tcBorders>
              <w:top w:val="single" w:sz="4" w:space="0" w:color="auto"/>
              <w:left w:val="nil"/>
              <w:bottom w:val="single" w:sz="4" w:space="0" w:color="auto"/>
              <w:right w:val="single" w:sz="4" w:space="0" w:color="auto"/>
            </w:tcBorders>
            <w:vAlign w:val="center"/>
          </w:tcPr>
          <w:p w:rsidR="00EE4791" w:rsidRDefault="00EE4791">
            <w:pPr>
              <w:adjustRightInd w:val="0"/>
              <w:snapToGrid w:val="0"/>
              <w:jc w:val="center"/>
              <w:rPr>
                <w:kern w:val="0"/>
                <w:szCs w:val="21"/>
              </w:rPr>
            </w:pPr>
            <w:r>
              <w:rPr>
                <w:bCs/>
              </w:rPr>
              <w:t>赎回费率</w:t>
            </w:r>
          </w:p>
        </w:tc>
      </w:tr>
      <w:tr w:rsidR="00EE4791">
        <w:trPr>
          <w:trHeight w:val="340"/>
          <w:jc w:val="center"/>
        </w:trPr>
        <w:tc>
          <w:tcPr>
            <w:tcW w:w="5145" w:type="dxa"/>
            <w:tcBorders>
              <w:top w:val="nil"/>
              <w:left w:val="single" w:sz="4" w:space="0" w:color="auto"/>
              <w:bottom w:val="single" w:sz="4" w:space="0" w:color="auto"/>
              <w:right w:val="single" w:sz="4" w:space="0" w:color="auto"/>
            </w:tcBorders>
            <w:vAlign w:val="center"/>
          </w:tcPr>
          <w:p w:rsidR="00EE4791" w:rsidRDefault="00EE4791">
            <w:pPr>
              <w:snapToGrid w:val="0"/>
              <w:jc w:val="center"/>
              <w:rPr>
                <w:rFonts w:ascii="宋体" w:hAnsi="宋体" w:cs="Calibri"/>
                <w:szCs w:val="21"/>
              </w:rPr>
            </w:pPr>
            <w:r>
              <w:t>T&lt;7</w:t>
            </w:r>
            <w:r>
              <w:t>日</w:t>
            </w:r>
          </w:p>
        </w:tc>
        <w:tc>
          <w:tcPr>
            <w:tcW w:w="3151" w:type="dxa"/>
            <w:tcBorders>
              <w:top w:val="nil"/>
              <w:left w:val="nil"/>
              <w:bottom w:val="single" w:sz="4" w:space="0" w:color="auto"/>
              <w:right w:val="single" w:sz="4" w:space="0" w:color="auto"/>
            </w:tcBorders>
            <w:vAlign w:val="center"/>
          </w:tcPr>
          <w:p w:rsidR="00EE4791" w:rsidRDefault="00EE4791">
            <w:pPr>
              <w:snapToGrid w:val="0"/>
              <w:jc w:val="center"/>
              <w:rPr>
                <w:rFonts w:ascii="宋体" w:hAnsi="宋体" w:cs="Calibri"/>
                <w:szCs w:val="21"/>
              </w:rPr>
            </w:pPr>
            <w:r>
              <w:t>1.50%</w:t>
            </w:r>
          </w:p>
        </w:tc>
      </w:tr>
      <w:tr w:rsidR="00EE4791">
        <w:trPr>
          <w:trHeight w:val="340"/>
          <w:jc w:val="center"/>
        </w:trPr>
        <w:tc>
          <w:tcPr>
            <w:tcW w:w="5145" w:type="dxa"/>
            <w:tcBorders>
              <w:top w:val="nil"/>
              <w:left w:val="single" w:sz="4" w:space="0" w:color="auto"/>
              <w:bottom w:val="single" w:sz="4" w:space="0" w:color="auto"/>
              <w:right w:val="single" w:sz="4" w:space="0" w:color="auto"/>
            </w:tcBorders>
            <w:vAlign w:val="center"/>
          </w:tcPr>
          <w:p w:rsidR="00EE4791" w:rsidRDefault="00EE4791">
            <w:pPr>
              <w:snapToGrid w:val="0"/>
              <w:jc w:val="center"/>
              <w:rPr>
                <w:rFonts w:ascii="宋体" w:hAnsi="宋体" w:cs="Calibri"/>
                <w:szCs w:val="21"/>
              </w:rPr>
            </w:pPr>
            <w:r>
              <w:t>T≤7</w:t>
            </w:r>
            <w:r>
              <w:t>日</w:t>
            </w:r>
            <w:r>
              <w:t>&lt;30</w:t>
            </w:r>
            <w:r>
              <w:t>日</w:t>
            </w:r>
          </w:p>
        </w:tc>
        <w:tc>
          <w:tcPr>
            <w:tcW w:w="3151" w:type="dxa"/>
            <w:tcBorders>
              <w:top w:val="nil"/>
              <w:left w:val="nil"/>
              <w:bottom w:val="single" w:sz="4" w:space="0" w:color="auto"/>
              <w:right w:val="single" w:sz="4" w:space="0" w:color="auto"/>
            </w:tcBorders>
            <w:vAlign w:val="center"/>
          </w:tcPr>
          <w:p w:rsidR="00EE4791" w:rsidRDefault="00EE4791">
            <w:pPr>
              <w:snapToGrid w:val="0"/>
              <w:jc w:val="center"/>
              <w:rPr>
                <w:rFonts w:ascii="宋体" w:hAnsi="宋体" w:cs="Calibri"/>
                <w:szCs w:val="21"/>
              </w:rPr>
            </w:pPr>
            <w:r>
              <w:t>0.15%</w:t>
            </w:r>
          </w:p>
        </w:tc>
      </w:tr>
      <w:tr w:rsidR="00EE4791">
        <w:trPr>
          <w:trHeight w:val="340"/>
          <w:jc w:val="center"/>
        </w:trPr>
        <w:tc>
          <w:tcPr>
            <w:tcW w:w="5145" w:type="dxa"/>
            <w:tcBorders>
              <w:top w:val="nil"/>
              <w:left w:val="single" w:sz="4" w:space="0" w:color="auto"/>
              <w:bottom w:val="single" w:sz="4" w:space="0" w:color="auto"/>
              <w:right w:val="single" w:sz="4" w:space="0" w:color="auto"/>
            </w:tcBorders>
            <w:vAlign w:val="center"/>
          </w:tcPr>
          <w:p w:rsidR="00EE4791" w:rsidRDefault="00EE4791">
            <w:pPr>
              <w:snapToGrid w:val="0"/>
              <w:jc w:val="center"/>
              <w:rPr>
                <w:rFonts w:ascii="宋体" w:hAnsi="宋体"/>
                <w:szCs w:val="20"/>
              </w:rPr>
            </w:pPr>
            <w:r>
              <w:t>T≥ 30</w:t>
            </w:r>
            <w:r>
              <w:t>日</w:t>
            </w:r>
          </w:p>
        </w:tc>
        <w:tc>
          <w:tcPr>
            <w:tcW w:w="3151" w:type="dxa"/>
            <w:tcBorders>
              <w:top w:val="nil"/>
              <w:left w:val="nil"/>
              <w:bottom w:val="single" w:sz="4" w:space="0" w:color="auto"/>
              <w:right w:val="single" w:sz="4" w:space="0" w:color="auto"/>
            </w:tcBorders>
            <w:vAlign w:val="center"/>
          </w:tcPr>
          <w:p w:rsidR="00EE4791" w:rsidRDefault="00EE4791">
            <w:pPr>
              <w:snapToGrid w:val="0"/>
              <w:jc w:val="center"/>
              <w:rPr>
                <w:rFonts w:ascii="宋体" w:hAnsi="宋体"/>
                <w:szCs w:val="20"/>
              </w:rPr>
            </w:pPr>
            <w:r>
              <w:t>0</w:t>
            </w:r>
          </w:p>
        </w:tc>
      </w:tr>
      <w:bookmarkEnd w:id="31"/>
    </w:tbl>
    <w:p w:rsidR="00EE4791" w:rsidRDefault="00EE4791">
      <w:pPr>
        <w:spacing w:line="360" w:lineRule="auto"/>
        <w:ind w:firstLineChars="200" w:firstLine="420"/>
        <w:jc w:val="left"/>
        <w:rPr>
          <w:rFonts w:ascii="宋体" w:hAnsi="宋体" w:hint="eastAsia"/>
          <w:szCs w:val="21"/>
        </w:rPr>
      </w:pPr>
    </w:p>
    <w:p w:rsidR="00EE4791" w:rsidRDefault="00EE4791">
      <w:pPr>
        <w:numPr>
          <w:ilvl w:val="1"/>
          <w:numId w:val="1"/>
        </w:numPr>
        <w:spacing w:beforeLines="50" w:afterLines="50"/>
        <w:rPr>
          <w:rFonts w:ascii="宋体" w:hAnsi="宋体" w:hint="eastAsia"/>
          <w:b/>
          <w:sz w:val="24"/>
          <w:szCs w:val="20"/>
        </w:rPr>
      </w:pPr>
      <w:bookmarkStart w:id="33" w:name="t_2_4_3_table"/>
      <w:bookmarkEnd w:id="29"/>
      <w:bookmarkEnd w:id="33"/>
      <w:r>
        <w:rPr>
          <w:rFonts w:ascii="宋体" w:hAnsi="宋体" w:hint="eastAsia"/>
          <w:b/>
          <w:sz w:val="24"/>
          <w:szCs w:val="20"/>
        </w:rPr>
        <w:t>其他与赎回相关的事项</w:t>
      </w:r>
    </w:p>
    <w:p w:rsidR="00732A62" w:rsidRDefault="00732A62" w:rsidP="00732A62">
      <w:pPr>
        <w:adjustRightInd w:val="0"/>
        <w:snapToGrid w:val="0"/>
        <w:spacing w:line="360" w:lineRule="auto"/>
        <w:ind w:firstLineChars="200" w:firstLine="420"/>
        <w:rPr>
          <w:rFonts w:ascii="宋体" w:hAnsi="宋体"/>
          <w:szCs w:val="21"/>
        </w:rPr>
      </w:pPr>
      <w:bookmarkStart w:id="34" w:name="t_2_4_3_2823_a1_fm1"/>
      <w:bookmarkEnd w:id="34"/>
      <w:r>
        <w:rPr>
          <w:rFonts w:ascii="宋体" w:hAnsi="宋体" w:hint="eastAsia"/>
          <w:szCs w:val="21"/>
        </w:rPr>
        <w:t>本基金的赎回费用由基金份额持有人承担</w:t>
      </w:r>
      <w:r>
        <w:rPr>
          <w:rFonts w:ascii="宋体" w:hAnsi="宋体"/>
          <w:szCs w:val="21"/>
        </w:rPr>
        <w:t>,</w:t>
      </w:r>
      <w:r>
        <w:rPr>
          <w:rFonts w:ascii="宋体" w:hAnsi="宋体" w:hint="eastAsia"/>
          <w:szCs w:val="21"/>
        </w:rPr>
        <w:t>对持续持有期少于7天的投资者收取的赎回费将全额计入基金财产；对持续持有期长于</w:t>
      </w:r>
      <w:r>
        <w:rPr>
          <w:rFonts w:ascii="宋体" w:hAnsi="宋体"/>
          <w:szCs w:val="21"/>
        </w:rPr>
        <w:t>等于</w:t>
      </w:r>
      <w:r>
        <w:rPr>
          <w:rFonts w:ascii="宋体" w:hAnsi="宋体" w:hint="eastAsia"/>
          <w:szCs w:val="21"/>
        </w:rPr>
        <w:t>7天的投资者收取的赎回费，</w:t>
      </w:r>
      <w:r>
        <w:rPr>
          <w:rFonts w:ascii="宋体" w:hAnsi="宋体"/>
          <w:szCs w:val="21"/>
        </w:rPr>
        <w:t>将</w:t>
      </w:r>
      <w:r>
        <w:rPr>
          <w:rFonts w:ascii="宋体" w:hAnsi="宋体" w:hint="eastAsia"/>
          <w:szCs w:val="21"/>
        </w:rPr>
        <w:t>赎回费总额的</w:t>
      </w:r>
      <w:r>
        <w:rPr>
          <w:rFonts w:ascii="宋体" w:hAnsi="宋体"/>
          <w:szCs w:val="21"/>
        </w:rPr>
        <w:t>25%计入基金财产,</w:t>
      </w:r>
      <w:r>
        <w:rPr>
          <w:rFonts w:ascii="宋体" w:hAnsi="宋体" w:hint="eastAsia"/>
          <w:szCs w:val="21"/>
        </w:rPr>
        <w:t>其余用于支付登记费和其他必要的手续费</w:t>
      </w:r>
      <w:r>
        <w:rPr>
          <w:rFonts w:ascii="宋体" w:hAnsi="宋体"/>
          <w:szCs w:val="21"/>
        </w:rPr>
        <w:t>。</w:t>
      </w:r>
    </w:p>
    <w:p w:rsidR="00EE4791" w:rsidRDefault="00732A62" w:rsidP="00732A62">
      <w:pPr>
        <w:spacing w:line="360" w:lineRule="auto"/>
        <w:ind w:firstLineChars="200" w:firstLine="420"/>
        <w:jc w:val="left"/>
        <w:rPr>
          <w:rFonts w:hint="eastAsia"/>
        </w:rPr>
      </w:pPr>
      <w:r w:rsidRPr="00732A62">
        <w:rPr>
          <w:rFonts w:ascii="宋体" w:hAnsi="宋体" w:hint="eastAsia"/>
          <w:szCs w:val="21"/>
        </w:rPr>
        <w:t>基金管理人可以在法律法规和基金合同规定范围内调整赎回费率或收费方式，并最迟应于新的费率或收费方式实施日前依照《信息披露办法》的有关规定在指定媒介上刊登公告。</w:t>
      </w:r>
      <w:r>
        <w:rPr>
          <w:rFonts w:ascii="宋体" w:hAnsi="宋体"/>
          <w:szCs w:val="21"/>
        </w:rPr>
        <w:t>基金管理人可</w:t>
      </w:r>
      <w:r>
        <w:rPr>
          <w:rFonts w:ascii="宋体" w:hAnsi="宋体" w:hint="eastAsia"/>
          <w:szCs w:val="21"/>
        </w:rPr>
        <w:t>在法律法规允许的情况下，</w:t>
      </w:r>
      <w:r>
        <w:rPr>
          <w:rFonts w:ascii="宋体" w:hAnsi="宋体"/>
          <w:szCs w:val="21"/>
        </w:rPr>
        <w:t>调整上述规定赎回份额的数量限制。基金管理人必须在调整前依照《信息披露办法》的有关规定在指定媒介上公告。</w:t>
      </w:r>
      <w:bookmarkStart w:id="35" w:name="t_2_5_table"/>
      <w:bookmarkStart w:id="36" w:name="t_2_5_0179_a1_fm1"/>
      <w:bookmarkStart w:id="37" w:name="t_2_5_2824_a1_fm1"/>
      <w:bookmarkStart w:id="38" w:name="t_2_6_table"/>
      <w:bookmarkStart w:id="39" w:name="t_2_6_2825_a1_fm1"/>
      <w:bookmarkEnd w:id="35"/>
      <w:bookmarkEnd w:id="36"/>
      <w:bookmarkEnd w:id="37"/>
      <w:bookmarkEnd w:id="38"/>
      <w:bookmarkEnd w:id="39"/>
    </w:p>
    <w:p w:rsidR="00EE4791" w:rsidRDefault="00EE4791">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基金销售机构</w:t>
      </w:r>
    </w:p>
    <w:p w:rsidR="00EE4791" w:rsidRDefault="00EE4791">
      <w:pPr>
        <w:numPr>
          <w:ilvl w:val="1"/>
          <w:numId w:val="1"/>
        </w:numPr>
        <w:spacing w:beforeLines="50" w:afterLines="50"/>
        <w:jc w:val="left"/>
        <w:rPr>
          <w:rFonts w:ascii="宋体" w:hAnsi="宋体" w:hint="eastAsia"/>
          <w:b/>
          <w:sz w:val="24"/>
          <w:szCs w:val="20"/>
        </w:rPr>
      </w:pPr>
      <w:r>
        <w:rPr>
          <w:rFonts w:ascii="宋体" w:hAnsi="宋体" w:hint="eastAsia"/>
          <w:b/>
          <w:sz w:val="24"/>
          <w:szCs w:val="20"/>
        </w:rPr>
        <w:t>场外销售机构</w:t>
      </w:r>
    </w:p>
    <w:p w:rsidR="00EE4791" w:rsidRDefault="00EE4791">
      <w:pPr>
        <w:numPr>
          <w:ilvl w:val="2"/>
          <w:numId w:val="1"/>
        </w:numPr>
        <w:spacing w:beforeLines="50" w:afterLines="50"/>
        <w:jc w:val="left"/>
        <w:rPr>
          <w:rFonts w:ascii="宋体" w:hAnsi="宋体" w:hint="eastAsia"/>
          <w:b/>
          <w:sz w:val="24"/>
          <w:szCs w:val="20"/>
        </w:rPr>
      </w:pPr>
      <w:r>
        <w:rPr>
          <w:rFonts w:ascii="宋体" w:hAnsi="宋体" w:hint="eastAsia"/>
          <w:b/>
          <w:sz w:val="24"/>
          <w:szCs w:val="20"/>
        </w:rPr>
        <w:t>直销机构</w:t>
      </w:r>
    </w:p>
    <w:p w:rsidR="00EE4791" w:rsidRDefault="00EE4791">
      <w:pPr>
        <w:spacing w:line="360" w:lineRule="auto"/>
        <w:ind w:firstLineChars="200" w:firstLine="420"/>
        <w:jc w:val="left"/>
        <w:rPr>
          <w:rFonts w:ascii="宋体" w:hAnsi="宋体" w:hint="eastAsia"/>
          <w:szCs w:val="21"/>
        </w:rPr>
      </w:pPr>
      <w:bookmarkStart w:id="40" w:name="t_2_7_2833_a1_fm1"/>
      <w:bookmarkEnd w:id="40"/>
      <w:r>
        <w:rPr>
          <w:rFonts w:ascii="宋体" w:hAnsi="宋体" w:hint="eastAsia"/>
          <w:szCs w:val="21"/>
        </w:rPr>
        <w:t>华泰柏瑞基金管理有限公司直销柜台</w:t>
      </w:r>
    </w:p>
    <w:p w:rsidR="00EE4791" w:rsidRDefault="00EE4791">
      <w:pPr>
        <w:spacing w:line="360" w:lineRule="auto"/>
        <w:ind w:firstLineChars="200" w:firstLine="420"/>
        <w:jc w:val="left"/>
        <w:rPr>
          <w:rFonts w:ascii="宋体" w:hAnsi="宋体" w:hint="eastAsia"/>
          <w:szCs w:val="21"/>
        </w:rPr>
      </w:pPr>
      <w:r>
        <w:rPr>
          <w:rFonts w:ascii="宋体" w:hAnsi="宋体" w:hint="eastAsia"/>
          <w:szCs w:val="21"/>
        </w:rPr>
        <w:t>注册地址：中国（上海）自由贸易试验区民生路1199弄上海证大五道口广场1号17层</w:t>
      </w:r>
    </w:p>
    <w:p w:rsidR="00EE4791" w:rsidRDefault="00EE4791">
      <w:pPr>
        <w:spacing w:line="360" w:lineRule="auto"/>
        <w:ind w:firstLineChars="200" w:firstLine="420"/>
        <w:jc w:val="left"/>
        <w:rPr>
          <w:rFonts w:ascii="宋体" w:hAnsi="宋体" w:hint="eastAsia"/>
          <w:szCs w:val="21"/>
        </w:rPr>
      </w:pPr>
      <w:r>
        <w:rPr>
          <w:rFonts w:ascii="宋体" w:hAnsi="宋体" w:hint="eastAsia"/>
          <w:szCs w:val="21"/>
        </w:rPr>
        <w:t>办公地址：中国（上海）自由贸易试验区民生路1199弄上海证大五道口广场1号17层</w:t>
      </w:r>
    </w:p>
    <w:p w:rsidR="00EE4791" w:rsidRDefault="00EE4791">
      <w:pPr>
        <w:spacing w:line="360" w:lineRule="auto"/>
        <w:ind w:firstLineChars="200" w:firstLine="420"/>
        <w:jc w:val="left"/>
        <w:rPr>
          <w:rFonts w:ascii="宋体" w:hAnsi="宋体" w:hint="eastAsia"/>
          <w:szCs w:val="21"/>
        </w:rPr>
      </w:pPr>
      <w:r>
        <w:rPr>
          <w:rFonts w:ascii="宋体" w:hAnsi="宋体" w:hint="eastAsia"/>
          <w:szCs w:val="21"/>
        </w:rPr>
        <w:t>法定代表人：贾波</w:t>
      </w:r>
    </w:p>
    <w:p w:rsidR="00EE4791" w:rsidRDefault="00EE4791">
      <w:pPr>
        <w:spacing w:line="360" w:lineRule="auto"/>
        <w:ind w:firstLineChars="200" w:firstLine="420"/>
        <w:jc w:val="left"/>
        <w:rPr>
          <w:rFonts w:ascii="宋体" w:hAnsi="宋体" w:hint="eastAsia"/>
          <w:szCs w:val="21"/>
        </w:rPr>
      </w:pPr>
      <w:r>
        <w:rPr>
          <w:rFonts w:ascii="宋体" w:hAnsi="宋体" w:hint="eastAsia"/>
          <w:szCs w:val="21"/>
        </w:rPr>
        <w:t>电话：（021）38784638</w:t>
      </w:r>
    </w:p>
    <w:p w:rsidR="00EE4791" w:rsidRDefault="00EE4791">
      <w:pPr>
        <w:spacing w:line="360" w:lineRule="auto"/>
        <w:ind w:firstLineChars="200" w:firstLine="420"/>
        <w:jc w:val="left"/>
        <w:rPr>
          <w:rFonts w:ascii="宋体" w:hAnsi="宋体" w:hint="eastAsia"/>
          <w:szCs w:val="21"/>
        </w:rPr>
      </w:pPr>
      <w:r>
        <w:rPr>
          <w:rFonts w:ascii="宋体" w:hAnsi="宋体" w:hint="eastAsia"/>
          <w:szCs w:val="21"/>
        </w:rPr>
        <w:t>传真：（021）50103016</w:t>
      </w:r>
    </w:p>
    <w:p w:rsidR="00EE4791" w:rsidRDefault="00EE4791">
      <w:pPr>
        <w:spacing w:line="360" w:lineRule="auto"/>
        <w:ind w:firstLineChars="200" w:firstLine="420"/>
        <w:jc w:val="left"/>
        <w:rPr>
          <w:rFonts w:ascii="宋体" w:hAnsi="宋体" w:hint="eastAsia"/>
          <w:szCs w:val="21"/>
        </w:rPr>
      </w:pPr>
      <w:r>
        <w:rPr>
          <w:rFonts w:ascii="宋体" w:hAnsi="宋体" w:hint="eastAsia"/>
          <w:szCs w:val="21"/>
        </w:rPr>
        <w:t>联系人：汪莹白</w:t>
      </w:r>
    </w:p>
    <w:p w:rsidR="00EE4791" w:rsidRDefault="00EE4791">
      <w:pPr>
        <w:spacing w:line="360" w:lineRule="auto"/>
        <w:ind w:firstLineChars="200" w:firstLine="420"/>
        <w:jc w:val="left"/>
        <w:rPr>
          <w:rFonts w:ascii="宋体" w:hAnsi="宋体" w:hint="eastAsia"/>
          <w:szCs w:val="21"/>
        </w:rPr>
      </w:pPr>
      <w:r>
        <w:rPr>
          <w:rFonts w:ascii="宋体" w:hAnsi="宋体" w:hint="eastAsia"/>
          <w:szCs w:val="21"/>
        </w:rPr>
        <w:t>客服电话：400-888-0001，（021）38784638</w:t>
      </w:r>
    </w:p>
    <w:p w:rsidR="00EE4791" w:rsidRDefault="00EE4791">
      <w:pPr>
        <w:spacing w:line="360" w:lineRule="auto"/>
        <w:ind w:firstLineChars="200" w:firstLine="420"/>
        <w:jc w:val="left"/>
        <w:rPr>
          <w:rFonts w:ascii="宋体" w:hAnsi="宋体" w:hint="eastAsia"/>
          <w:szCs w:val="21"/>
        </w:rPr>
      </w:pPr>
      <w:r>
        <w:rPr>
          <w:rFonts w:ascii="宋体" w:hAnsi="宋体" w:hint="eastAsia"/>
          <w:szCs w:val="21"/>
        </w:rPr>
        <w:t>公司网址：www.huatai-pb.com</w:t>
      </w:r>
    </w:p>
    <w:p w:rsidR="00EE4791" w:rsidRDefault="00EE4791">
      <w:pPr>
        <w:spacing w:beforeLines="50" w:afterLines="50"/>
        <w:jc w:val="left"/>
        <w:rPr>
          <w:rFonts w:ascii="宋体" w:hAnsi="宋体" w:hint="eastAsia"/>
          <w:b/>
          <w:sz w:val="24"/>
          <w:szCs w:val="20"/>
        </w:rPr>
      </w:pPr>
      <w:r>
        <w:rPr>
          <w:rFonts w:ascii="宋体" w:hAnsi="宋体" w:hint="eastAsia"/>
          <w:b/>
          <w:sz w:val="24"/>
          <w:szCs w:val="20"/>
        </w:rPr>
        <w:t>5.1.2 场外代销机构</w:t>
      </w:r>
    </w:p>
    <w:p w:rsidR="00EE4791" w:rsidRDefault="00EE4791">
      <w:pPr>
        <w:spacing w:line="360" w:lineRule="auto"/>
        <w:ind w:firstLineChars="200" w:firstLine="420"/>
        <w:jc w:val="left"/>
        <w:rPr>
          <w:rFonts w:ascii="宋体" w:hAnsi="宋体" w:hint="eastAsia"/>
          <w:szCs w:val="21"/>
        </w:rPr>
      </w:pPr>
      <w:bookmarkStart w:id="41" w:name="t_2_7_2834_a1_fm1"/>
      <w:bookmarkEnd w:id="41"/>
      <w:r>
        <w:rPr>
          <w:rFonts w:ascii="宋体" w:hAnsi="宋体" w:hint="eastAsia"/>
          <w:szCs w:val="21"/>
        </w:rPr>
        <w:t>基金管理人可根据有关法律法规，选择其他符合要求的机构代理销售本基金，并及时在基金管理人网站公示。</w:t>
      </w:r>
    </w:p>
    <w:p w:rsidR="00EE4791" w:rsidRDefault="00EE4791">
      <w:pPr>
        <w:spacing w:beforeLines="50" w:afterLines="50"/>
        <w:ind w:left="720"/>
        <w:jc w:val="left"/>
        <w:rPr>
          <w:rFonts w:ascii="宋体" w:hAnsi="宋体" w:hint="eastAsia"/>
          <w:szCs w:val="21"/>
        </w:rPr>
      </w:pPr>
      <w:bookmarkStart w:id="42" w:name="t_2_7_2835_a1_fm1"/>
      <w:bookmarkEnd w:id="42"/>
    </w:p>
    <w:p w:rsidR="00EE4791" w:rsidRDefault="00EE4791">
      <w:pPr>
        <w:pStyle w:val="2"/>
        <w:numPr>
          <w:ilvl w:val="0"/>
          <w:numId w:val="1"/>
        </w:numPr>
        <w:spacing w:beforeLines="50" w:afterLines="50" w:line="240" w:lineRule="auto"/>
        <w:rPr>
          <w:rFonts w:ascii="宋体" w:eastAsia="宋体" w:hAnsi="宋体" w:hint="eastAsia"/>
          <w:bCs/>
          <w:sz w:val="24"/>
          <w:szCs w:val="24"/>
        </w:rPr>
      </w:pPr>
      <w:bookmarkStart w:id="43" w:name="t_2_8_table"/>
      <w:bookmarkEnd w:id="43"/>
      <w:r>
        <w:rPr>
          <w:rFonts w:ascii="宋体" w:eastAsia="宋体" w:hAnsi="宋体" w:hint="eastAsia"/>
          <w:bCs/>
          <w:sz w:val="24"/>
          <w:szCs w:val="24"/>
        </w:rPr>
        <w:t>基金份额净值公告/基金收益公告的披露安排</w:t>
      </w:r>
    </w:p>
    <w:p w:rsidR="006C44AD" w:rsidRDefault="00732A62" w:rsidP="006C44AD">
      <w:pPr>
        <w:adjustRightInd w:val="0"/>
        <w:snapToGrid w:val="0"/>
        <w:spacing w:line="360" w:lineRule="auto"/>
        <w:ind w:firstLineChars="200" w:firstLine="420"/>
        <w:rPr>
          <w:rFonts w:ascii="宋体" w:hAnsi="宋体"/>
          <w:szCs w:val="21"/>
        </w:rPr>
      </w:pPr>
      <w:bookmarkStart w:id="44" w:name="t_2_8_2756_a1_fm1"/>
      <w:bookmarkEnd w:id="44"/>
      <w:r>
        <w:rPr>
          <w:rFonts w:ascii="宋体" w:hAnsi="宋体" w:hint="eastAsia"/>
          <w:szCs w:val="21"/>
        </w:rPr>
        <w:t>基金合同生效后，</w:t>
      </w:r>
      <w:r w:rsidR="006C44AD">
        <w:rPr>
          <w:rFonts w:ascii="宋体" w:hAnsi="宋体"/>
          <w:szCs w:val="21"/>
        </w:rPr>
        <w:t>在</w:t>
      </w:r>
      <w:r w:rsidR="006C44AD">
        <w:rPr>
          <w:rFonts w:ascii="宋体" w:hAnsi="宋体" w:hint="eastAsia"/>
          <w:szCs w:val="21"/>
        </w:rPr>
        <w:t>封闭期内，</w:t>
      </w:r>
      <w:r w:rsidR="006C44AD">
        <w:rPr>
          <w:rFonts w:ascii="宋体" w:hAnsi="宋体"/>
          <w:szCs w:val="21"/>
        </w:rPr>
        <w:t>基金管理人应当至少每周</w:t>
      </w:r>
      <w:r w:rsidR="006C44AD">
        <w:rPr>
          <w:rFonts w:ascii="宋体" w:hAnsi="宋体" w:hint="eastAsia"/>
          <w:szCs w:val="21"/>
        </w:rPr>
        <w:t>在指定网站披露</w:t>
      </w:r>
      <w:r w:rsidR="006C44AD">
        <w:rPr>
          <w:rFonts w:ascii="宋体" w:hAnsi="宋体"/>
          <w:szCs w:val="21"/>
        </w:rPr>
        <w:t>一次基金</w:t>
      </w:r>
      <w:r w:rsidR="006C44AD">
        <w:rPr>
          <w:rFonts w:ascii="宋体" w:hAnsi="宋体" w:hint="eastAsia"/>
          <w:szCs w:val="21"/>
        </w:rPr>
        <w:t>份额</w:t>
      </w:r>
      <w:r w:rsidR="006C44AD">
        <w:rPr>
          <w:rFonts w:ascii="宋体" w:hAnsi="宋体"/>
          <w:szCs w:val="21"/>
        </w:rPr>
        <w:t>净值和基金份额</w:t>
      </w:r>
      <w:r w:rsidR="006C44AD">
        <w:rPr>
          <w:rFonts w:ascii="宋体" w:hAnsi="宋体" w:hint="eastAsia"/>
          <w:szCs w:val="21"/>
        </w:rPr>
        <w:t>累计</w:t>
      </w:r>
      <w:r w:rsidR="006C44AD">
        <w:rPr>
          <w:rFonts w:ascii="宋体" w:hAnsi="宋体"/>
          <w:szCs w:val="21"/>
        </w:rPr>
        <w:t>净值。</w:t>
      </w:r>
    </w:p>
    <w:p w:rsidR="00732A62" w:rsidRDefault="00732A62" w:rsidP="00732A62">
      <w:pPr>
        <w:adjustRightInd w:val="0"/>
        <w:snapToGrid w:val="0"/>
        <w:spacing w:line="360" w:lineRule="auto"/>
        <w:ind w:firstLineChars="200" w:firstLine="420"/>
        <w:rPr>
          <w:rFonts w:ascii="宋体" w:hAnsi="宋体"/>
          <w:szCs w:val="21"/>
        </w:rPr>
      </w:pPr>
      <w:r>
        <w:rPr>
          <w:rFonts w:ascii="宋体" w:hAnsi="宋体" w:hint="eastAsia"/>
          <w:szCs w:val="21"/>
        </w:rPr>
        <w:t>在开放期内，基金管理人应当在不晚于每个开放日的次日，通过指定网站、基金销售机构网站或者营业网点披露开放日的基金份额净值和基金份额累计净值</w:t>
      </w:r>
      <w:r>
        <w:rPr>
          <w:rFonts w:ascii="宋体" w:hAnsi="宋体"/>
          <w:szCs w:val="21"/>
        </w:rPr>
        <w:t>。遇特殊情况，</w:t>
      </w:r>
      <w:r>
        <w:rPr>
          <w:rFonts w:ascii="宋体" w:hAnsi="宋体" w:hint="eastAsia"/>
          <w:szCs w:val="21"/>
        </w:rPr>
        <w:t>经履行</w:t>
      </w:r>
      <w:r>
        <w:rPr>
          <w:rFonts w:ascii="宋体" w:hAnsi="宋体"/>
          <w:szCs w:val="21"/>
        </w:rPr>
        <w:t>适当程序</w:t>
      </w:r>
      <w:r>
        <w:rPr>
          <w:rFonts w:ascii="宋体" w:hAnsi="宋体" w:hint="eastAsia"/>
          <w:szCs w:val="21"/>
        </w:rPr>
        <w:t>，</w:t>
      </w:r>
      <w:r>
        <w:rPr>
          <w:rFonts w:ascii="宋体" w:hAnsi="宋体"/>
          <w:szCs w:val="21"/>
        </w:rPr>
        <w:t>可以适当延迟计算或公告。</w:t>
      </w:r>
    </w:p>
    <w:p w:rsidR="00EE4791" w:rsidRDefault="00732A62">
      <w:pPr>
        <w:spacing w:line="360" w:lineRule="auto"/>
        <w:ind w:firstLineChars="200" w:firstLine="420"/>
        <w:jc w:val="left"/>
        <w:rPr>
          <w:rFonts w:ascii="宋体" w:hAnsi="宋体" w:hint="eastAsia"/>
          <w:szCs w:val="21"/>
        </w:rPr>
      </w:pPr>
      <w:r w:rsidRPr="00732A62">
        <w:rPr>
          <w:rFonts w:ascii="宋体" w:hAnsi="宋体" w:hint="eastAsia"/>
          <w:szCs w:val="21"/>
        </w:rPr>
        <w:t>基金管理人应当在不晚于半年度和年度最后一日的次日，在指定网站披露半年度和年度最后一日的基金份额净值和基金份额累计净值。</w:t>
      </w:r>
    </w:p>
    <w:p w:rsidR="00732A62" w:rsidRDefault="00732A62" w:rsidP="00732A62">
      <w:pPr>
        <w:adjustRightInd w:val="0"/>
        <w:snapToGrid w:val="0"/>
        <w:spacing w:line="360" w:lineRule="auto"/>
        <w:ind w:firstLineChars="200" w:firstLine="420"/>
        <w:rPr>
          <w:rFonts w:ascii="宋体" w:hAnsi="宋体"/>
          <w:szCs w:val="21"/>
        </w:rPr>
      </w:pPr>
      <w:r>
        <w:rPr>
          <w:rFonts w:ascii="宋体" w:hAnsi="宋体"/>
          <w:szCs w:val="21"/>
        </w:rPr>
        <w:t>本基金收益分配方案由基金管理人拟定，并由基金托管人复核，</w:t>
      </w:r>
      <w:r>
        <w:rPr>
          <w:rFonts w:ascii="宋体" w:hAnsi="宋体" w:hint="eastAsia"/>
          <w:szCs w:val="21"/>
        </w:rPr>
        <w:t>依照《信息披露办法》的有关规定</w:t>
      </w:r>
      <w:r>
        <w:rPr>
          <w:rFonts w:ascii="宋体" w:hAnsi="宋体"/>
          <w:szCs w:val="21"/>
        </w:rPr>
        <w:t>在指定媒介公告。</w:t>
      </w:r>
    </w:p>
    <w:p w:rsidR="00EE4791" w:rsidRDefault="00EE4791">
      <w:pPr>
        <w:pStyle w:val="2"/>
        <w:numPr>
          <w:ilvl w:val="0"/>
          <w:numId w:val="1"/>
        </w:numPr>
        <w:spacing w:beforeLines="50" w:afterLines="50" w:line="240" w:lineRule="auto"/>
        <w:rPr>
          <w:rFonts w:ascii="宋体" w:eastAsia="宋体" w:hAnsi="宋体" w:hint="eastAsia"/>
          <w:bCs/>
          <w:sz w:val="24"/>
          <w:szCs w:val="24"/>
          <w:lang w:eastAsia="zh-CN"/>
        </w:rPr>
      </w:pPr>
      <w:bookmarkStart w:id="45" w:name="t_2_9_table"/>
      <w:bookmarkEnd w:id="45"/>
      <w:r>
        <w:rPr>
          <w:rFonts w:ascii="宋体" w:eastAsia="宋体" w:hAnsi="宋体" w:hint="eastAsia"/>
          <w:bCs/>
          <w:sz w:val="24"/>
          <w:szCs w:val="24"/>
        </w:rPr>
        <w:t>其他需要提示的事项</w:t>
      </w:r>
    </w:p>
    <w:p w:rsidR="00E31585" w:rsidRPr="00E31585" w:rsidRDefault="00E31585" w:rsidP="00E31585">
      <w:pPr>
        <w:spacing w:line="360" w:lineRule="auto"/>
        <w:ind w:firstLineChars="200" w:firstLine="420"/>
        <w:jc w:val="left"/>
        <w:rPr>
          <w:rFonts w:ascii="宋体" w:hAnsi="宋体" w:hint="eastAsia"/>
          <w:szCs w:val="21"/>
        </w:rPr>
      </w:pPr>
      <w:r w:rsidRPr="00E31585">
        <w:rPr>
          <w:rFonts w:ascii="宋体" w:hAnsi="宋体" w:hint="eastAsia"/>
          <w:szCs w:val="21"/>
        </w:rPr>
        <w:t>华泰柏瑞益商一年定期开放债券型发起式证券投资基金</w:t>
      </w:r>
      <w:r w:rsidR="00EE4791">
        <w:rPr>
          <w:rFonts w:ascii="宋体" w:hAnsi="宋体" w:hint="eastAsia"/>
          <w:szCs w:val="21"/>
        </w:rPr>
        <w:t>（以下简称“本基金”）为债券型证券投资基金，</w:t>
      </w:r>
      <w:r w:rsidRPr="00E31585">
        <w:rPr>
          <w:rFonts w:ascii="宋体" w:hAnsi="宋体" w:hint="eastAsia"/>
          <w:szCs w:val="21"/>
        </w:rPr>
        <w:t>本基金以定期开放方式运作，</w:t>
      </w:r>
      <w:r>
        <w:rPr>
          <w:rFonts w:ascii="宋体" w:hAnsi="宋体" w:hint="eastAsia"/>
          <w:szCs w:val="21"/>
        </w:rPr>
        <w:t>即采取在封闭期内封闭运作、封闭期与封闭期之间定期开放的运作方式</w:t>
      </w:r>
      <w:r w:rsidR="00EE4791">
        <w:rPr>
          <w:rFonts w:ascii="宋体" w:hAnsi="宋体" w:hint="eastAsia"/>
          <w:szCs w:val="21"/>
        </w:rPr>
        <w:t>。基金管理人为华泰柏瑞基金管理有限公司，基金托管人为</w:t>
      </w:r>
      <w:r>
        <w:rPr>
          <w:rFonts w:ascii="宋体" w:hAnsi="宋体" w:hint="eastAsia"/>
          <w:szCs w:val="21"/>
        </w:rPr>
        <w:t>招商</w:t>
      </w:r>
      <w:r w:rsidR="00EE4791">
        <w:rPr>
          <w:rFonts w:ascii="宋体" w:hAnsi="宋体" w:hint="eastAsia"/>
          <w:szCs w:val="21"/>
        </w:rPr>
        <w:t>银行股份有限公司，注册登记机构为华泰柏瑞基金管理有限公司。</w:t>
      </w:r>
      <w:r w:rsidRPr="00E31585">
        <w:rPr>
          <w:rFonts w:ascii="宋体" w:hAnsi="宋体" w:hint="eastAsia"/>
          <w:szCs w:val="21"/>
        </w:rPr>
        <w:t>本基金的发售对象为符合法律法规规定的可投资于证券投资基金的机构投资者、合格境外机构投资者、人民币合格境外机构投资者、发起资金提供方以及法律法规或中国证监会允许购买证券投资基金的其他投资人。</w:t>
      </w:r>
    </w:p>
    <w:p w:rsidR="00E31585" w:rsidRDefault="00E31585">
      <w:pPr>
        <w:spacing w:line="360" w:lineRule="auto"/>
        <w:ind w:firstLineChars="200" w:firstLine="420"/>
        <w:jc w:val="left"/>
        <w:rPr>
          <w:rFonts w:ascii="宋体" w:hAnsi="宋体" w:hint="eastAsia"/>
          <w:szCs w:val="21"/>
        </w:rPr>
      </w:pPr>
      <w:r w:rsidRPr="00E31585">
        <w:rPr>
          <w:rFonts w:ascii="宋体" w:hAnsi="宋体" w:hint="eastAsia"/>
          <w:szCs w:val="21"/>
        </w:rPr>
        <w:t>本基金允许单一投资者持有基金份额比例达到或者超过50%，本基金不向个人投资者公开发售。</w:t>
      </w:r>
    </w:p>
    <w:p w:rsidR="00E31585" w:rsidRDefault="00E31585">
      <w:pPr>
        <w:spacing w:line="360" w:lineRule="auto"/>
        <w:ind w:firstLineChars="200" w:firstLine="420"/>
        <w:jc w:val="left"/>
        <w:rPr>
          <w:rFonts w:ascii="宋体" w:hAnsi="宋体" w:hint="eastAsia"/>
          <w:szCs w:val="21"/>
        </w:rPr>
      </w:pPr>
      <w:r w:rsidRPr="00E31585">
        <w:rPr>
          <w:rFonts w:ascii="宋体" w:hAnsi="宋体" w:hint="eastAsia"/>
          <w:szCs w:val="21"/>
        </w:rPr>
        <w:t>投资者T日申购基金成功后，基金注册登记机构在T＋1日为投资者增加权益并办理注册登记手续，投资者自T＋2日起有权赎回该部分基金份额。投资者T日赎回基金成功后，基金注册登记机构在T＋1日为投资者扣除权益并办理相应的注册登记手续。</w:t>
      </w:r>
      <w:r>
        <w:rPr>
          <w:rFonts w:ascii="宋体" w:hAnsi="宋体"/>
          <w:szCs w:val="21"/>
        </w:rPr>
        <w:t>基金管理人可在法律法规允许的范围内，对上述注册登记办理时间进行调整，并最迟于开始实施前3个工作日在指定媒介上公告。</w:t>
      </w:r>
      <w:r w:rsidRPr="00E31585">
        <w:rPr>
          <w:rFonts w:ascii="宋体" w:hAnsi="宋体" w:hint="eastAsia"/>
          <w:szCs w:val="21"/>
        </w:rPr>
        <w:t>投资人申购基金份额时，必须全额交付申购款项，投资人全额交付申购款项，申购成立，申购是否生效以基金登记机构确认为准。基金份额持有人递交赎回申请，赎回成立，赎回是否生效以基金登记机构确认为准。</w:t>
      </w:r>
    </w:p>
    <w:p w:rsidR="00EE4791" w:rsidRDefault="00EE4791">
      <w:pPr>
        <w:spacing w:line="360" w:lineRule="auto"/>
        <w:ind w:firstLineChars="200" w:firstLine="420"/>
        <w:jc w:val="left"/>
        <w:rPr>
          <w:rFonts w:ascii="宋体" w:hAnsi="宋体" w:hint="eastAsia"/>
          <w:szCs w:val="21"/>
        </w:rPr>
      </w:pPr>
      <w:r>
        <w:rPr>
          <w:rFonts w:ascii="宋体" w:hAnsi="宋体" w:hint="eastAsia"/>
          <w:szCs w:val="21"/>
        </w:rPr>
        <w:t>本公告仅对本基金的开放申购、赎回业务事项予以说明。投资者欲了解本基金详细情况，请认真阅读《</w:t>
      </w:r>
      <w:r w:rsidR="00E31585" w:rsidRPr="00E31585">
        <w:rPr>
          <w:rFonts w:ascii="宋体" w:hAnsi="宋体" w:hint="eastAsia"/>
          <w:szCs w:val="21"/>
        </w:rPr>
        <w:t>华泰柏瑞益商一年定期开放债券型发起式证券投资基金</w:t>
      </w:r>
      <w:r>
        <w:rPr>
          <w:rFonts w:ascii="宋体" w:hAnsi="宋体" w:hint="eastAsia"/>
          <w:szCs w:val="21"/>
        </w:rPr>
        <w:t>招募说明书》，亦可登陆本公司网站（www.huatai-pb.com）和中国证监会基金电子披露网站（http://eid.csrc.gov.cn/fund）进行查询。</w:t>
      </w:r>
    </w:p>
    <w:p w:rsidR="00EE4791" w:rsidRDefault="00EE4791">
      <w:pPr>
        <w:spacing w:line="360" w:lineRule="auto"/>
        <w:ind w:firstLineChars="200" w:firstLine="420"/>
        <w:jc w:val="left"/>
        <w:rPr>
          <w:rFonts w:ascii="宋体" w:hAnsi="宋体"/>
          <w:szCs w:val="21"/>
        </w:rPr>
      </w:pPr>
      <w:bookmarkStart w:id="46" w:name="t_2_9_2646_a1_fm1"/>
      <w:bookmarkEnd w:id="46"/>
      <w:r>
        <w:rPr>
          <w:rFonts w:ascii="宋体" w:hAnsi="宋体" w:hint="eastAsia"/>
          <w:szCs w:val="21"/>
        </w:rPr>
        <w:t>风险提示：本公司承诺以诚实信用、勤勉尽责的原则管理和运用基金资产，但不保证基金一定盈利，也不保证最低收益。敬请投资者留意投资风险。</w:t>
      </w:r>
    </w:p>
    <w:p w:rsidR="00EE4791" w:rsidRDefault="00EE4791">
      <w:pPr>
        <w:spacing w:line="360" w:lineRule="auto"/>
        <w:ind w:firstLineChars="200" w:firstLine="420"/>
        <w:jc w:val="left"/>
        <w:rPr>
          <w:rFonts w:ascii="宋体" w:hAnsi="宋体"/>
          <w:szCs w:val="21"/>
        </w:rPr>
      </w:pPr>
    </w:p>
    <w:p w:rsidR="00EE4791" w:rsidRDefault="00EE4791">
      <w:pPr>
        <w:spacing w:line="360" w:lineRule="auto"/>
        <w:ind w:firstLineChars="200" w:firstLine="420"/>
        <w:jc w:val="left"/>
        <w:rPr>
          <w:rFonts w:ascii="宋体" w:hAnsi="宋体"/>
          <w:szCs w:val="21"/>
        </w:rPr>
      </w:pPr>
    </w:p>
    <w:p w:rsidR="00EE4791" w:rsidRDefault="00EE4791">
      <w:pPr>
        <w:spacing w:line="360" w:lineRule="auto"/>
        <w:jc w:val="right"/>
        <w:rPr>
          <w:rFonts w:ascii="宋体" w:hAnsi="宋体"/>
          <w:sz w:val="24"/>
          <w:szCs w:val="30"/>
        </w:rPr>
      </w:pPr>
      <w:r>
        <w:rPr>
          <w:rFonts w:ascii="宋体" w:hAnsi="宋体" w:hint="eastAsia"/>
          <w:sz w:val="24"/>
          <w:szCs w:val="30"/>
        </w:rPr>
        <w:t>华泰柏瑞基金管理有限公司</w:t>
      </w:r>
    </w:p>
    <w:p w:rsidR="00EE4791" w:rsidRDefault="00E31585">
      <w:pPr>
        <w:spacing w:line="360" w:lineRule="auto"/>
        <w:jc w:val="right"/>
        <w:rPr>
          <w:rFonts w:ascii="宋体" w:hAnsi="宋体" w:hint="eastAsia"/>
          <w:szCs w:val="21"/>
        </w:rPr>
      </w:pPr>
      <w:r>
        <w:rPr>
          <w:rFonts w:ascii="宋体" w:hAnsi="宋体"/>
          <w:sz w:val="24"/>
          <w:szCs w:val="30"/>
        </w:rPr>
        <w:t>202</w:t>
      </w:r>
      <w:r>
        <w:rPr>
          <w:rFonts w:ascii="宋体" w:hAnsi="宋体" w:hint="eastAsia"/>
          <w:sz w:val="24"/>
          <w:szCs w:val="30"/>
        </w:rPr>
        <w:t>1</w:t>
      </w:r>
      <w:r w:rsidR="00EE4791">
        <w:rPr>
          <w:rFonts w:ascii="宋体" w:hAnsi="宋体"/>
          <w:sz w:val="24"/>
          <w:szCs w:val="30"/>
        </w:rPr>
        <w:t>年</w:t>
      </w:r>
      <w:r>
        <w:rPr>
          <w:rFonts w:ascii="宋体" w:hAnsi="宋体" w:hint="eastAsia"/>
          <w:sz w:val="24"/>
          <w:szCs w:val="30"/>
        </w:rPr>
        <w:t>1</w:t>
      </w:r>
      <w:r w:rsidR="00EE4791">
        <w:rPr>
          <w:rFonts w:ascii="宋体" w:hAnsi="宋体"/>
          <w:sz w:val="24"/>
          <w:szCs w:val="30"/>
        </w:rPr>
        <w:t>月</w:t>
      </w:r>
      <w:r>
        <w:rPr>
          <w:rFonts w:ascii="宋体" w:hAnsi="宋体" w:hint="eastAsia"/>
          <w:sz w:val="24"/>
          <w:szCs w:val="30"/>
        </w:rPr>
        <w:t>15</w:t>
      </w:r>
      <w:r w:rsidR="00EE4791">
        <w:rPr>
          <w:rFonts w:ascii="宋体" w:hAnsi="宋体"/>
          <w:sz w:val="24"/>
          <w:szCs w:val="30"/>
        </w:rPr>
        <w:t>日</w:t>
      </w:r>
    </w:p>
    <w:sectPr w:rsidR="00EE4791">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06D" w:rsidRDefault="008E206D">
      <w:r>
        <w:separator/>
      </w:r>
    </w:p>
  </w:endnote>
  <w:endnote w:type="continuationSeparator" w:id="0">
    <w:p w:rsidR="008E206D" w:rsidRDefault="008E2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62" w:rsidRDefault="00732A62">
    <w:pPr>
      <w:pStyle w:val="a5"/>
      <w:jc w:val="center"/>
    </w:pPr>
    <w:r>
      <w:rPr>
        <w:rFonts w:hint="eastAsia"/>
      </w:rPr>
      <w:t>第</w:t>
    </w:r>
    <w:r>
      <w:rPr>
        <w:rFonts w:hint="eastAsia"/>
      </w:rPr>
      <w:t xml:space="preserve"> </w:t>
    </w:r>
    <w:fldSimple w:instr=" PAGE   \* MERGEFORMAT ">
      <w:r w:rsidR="00481987">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481987">
        <w:rPr>
          <w:noProof/>
        </w:rPr>
        <w:t>4</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06D" w:rsidRDefault="008E206D">
      <w:r>
        <w:separator/>
      </w:r>
    </w:p>
  </w:footnote>
  <w:footnote w:type="continuationSeparator" w:id="0">
    <w:p w:rsidR="008E206D" w:rsidRDefault="008E2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62" w:rsidRDefault="00732A62">
    <w:pPr>
      <w:pStyle w:val="a4"/>
      <w:jc w:val="right"/>
    </w:pPr>
    <w:r>
      <w:rPr>
        <w:rFonts w:hint="eastAsia"/>
      </w:rPr>
      <w:t>关于</w:t>
    </w:r>
    <w:r>
      <w:t>华泰柏瑞益商一年定期开放债券型发起式证券投资基金</w:t>
    </w:r>
    <w:r>
      <w:rPr>
        <w:rFonts w:hint="eastAsia"/>
      </w:rPr>
      <w:t>第</w:t>
    </w:r>
    <w:r>
      <w:rPr>
        <w:rFonts w:hint="eastAsia"/>
        <w:lang w:eastAsia="zh-CN"/>
      </w:rPr>
      <w:t>一</w:t>
    </w:r>
    <w:r>
      <w:rPr>
        <w:rFonts w:hint="eastAsia"/>
      </w:rPr>
      <w:t>个开放期开放申购及赎回业务的公告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90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35257C4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355B1FF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6AAC22C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7BE25E84"/>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01CC"/>
    <w:rsid w:val="0005435B"/>
    <w:rsid w:val="000E124D"/>
    <w:rsid w:val="001C7542"/>
    <w:rsid w:val="003313D4"/>
    <w:rsid w:val="003F01CC"/>
    <w:rsid w:val="00435022"/>
    <w:rsid w:val="00440CE9"/>
    <w:rsid w:val="00481987"/>
    <w:rsid w:val="00485D00"/>
    <w:rsid w:val="00521FDB"/>
    <w:rsid w:val="0055509D"/>
    <w:rsid w:val="006C44AD"/>
    <w:rsid w:val="00732A62"/>
    <w:rsid w:val="00863419"/>
    <w:rsid w:val="008E206D"/>
    <w:rsid w:val="00AD539E"/>
    <w:rsid w:val="00B92990"/>
    <w:rsid w:val="00DD3802"/>
    <w:rsid w:val="00E31585"/>
    <w:rsid w:val="00EE47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Pr>
      <w:rFonts w:ascii="Times New Roman" w:hAnsi="Times New Roman"/>
      <w:kern w:val="2"/>
      <w:sz w:val="18"/>
    </w:rPr>
  </w:style>
  <w:style w:type="character" w:customStyle="1" w:styleId="Char0">
    <w:name w:val="页眉 Char"/>
    <w:link w:val="a4"/>
    <w:rPr>
      <w:kern w:val="2"/>
      <w:sz w:val="18"/>
      <w:szCs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3">
    <w:name w:val="footnote text"/>
    <w:basedOn w:val="a"/>
    <w:link w:val="Char"/>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lang/>
    </w:rPr>
  </w:style>
  <w:style w:type="paragraph" w:styleId="a8">
    <w:name w:val="Balloon Text"/>
    <w:basedOn w:val="a"/>
    <w:link w:val="Char3"/>
    <w:uiPriority w:val="99"/>
    <w:semiHidden/>
    <w:unhideWhenUsed/>
    <w:rPr>
      <w:sz w:val="18"/>
      <w:szCs w:val="18"/>
      <w:lang/>
    </w:rPr>
  </w:style>
  <w:style w:type="character" w:customStyle="1" w:styleId="Char3">
    <w:name w:val="批注框文本 Char"/>
    <w:link w:val="a8"/>
    <w:uiPriority w:val="99"/>
    <w:semiHidden/>
    <w:rPr>
      <w:kern w:val="2"/>
      <w:sz w:val="18"/>
      <w:szCs w:val="18"/>
    </w:rPr>
  </w:style>
  <w:style w:type="character" w:styleId="a9">
    <w:name w:val="annotation reference"/>
    <w:uiPriority w:val="99"/>
    <w:semiHidden/>
    <w:unhideWhenUsed/>
    <w:rPr>
      <w:sz w:val="21"/>
      <w:szCs w:val="21"/>
    </w:rPr>
  </w:style>
  <w:style w:type="paragraph" w:styleId="aa">
    <w:name w:val="annotation text"/>
    <w:basedOn w:val="a"/>
    <w:link w:val="Char4"/>
    <w:uiPriority w:val="99"/>
    <w:semiHidden/>
    <w:unhideWhenUsed/>
    <w:pPr>
      <w:jc w:val="left"/>
    </w:pPr>
    <w:rPr>
      <w:lang/>
    </w:rPr>
  </w:style>
  <w:style w:type="character" w:customStyle="1" w:styleId="Char4">
    <w:name w:val="批注文字 Char"/>
    <w:link w:val="aa"/>
    <w:uiPriority w:val="99"/>
    <w:semiHidden/>
    <w:rPr>
      <w:kern w:val="2"/>
      <w:sz w:val="21"/>
      <w:szCs w:val="22"/>
    </w:rPr>
  </w:style>
  <w:style w:type="paragraph" w:styleId="ab">
    <w:name w:val="annotation subject"/>
    <w:basedOn w:val="aa"/>
    <w:next w:val="aa"/>
    <w:link w:val="Char5"/>
    <w:uiPriority w:val="99"/>
    <w:semiHidden/>
    <w:unhideWhenUsed/>
    <w:rPr>
      <w:b/>
      <w:bCs/>
    </w:rPr>
  </w:style>
  <w:style w:type="character" w:customStyle="1" w:styleId="Char5">
    <w:name w:val="批注主题 Char"/>
    <w:link w:val="ab"/>
    <w:uiPriority w:val="99"/>
    <w:semiHidden/>
    <w:rPr>
      <w:b/>
      <w:bCs/>
      <w:kern w:val="2"/>
      <w:sz w:val="21"/>
      <w:szCs w:val="22"/>
    </w:rPr>
  </w:style>
  <w:style w:type="paragraph" w:styleId="ac">
    <w:name w:val="Revision"/>
    <w:hidden/>
    <w:uiPriority w:val="99"/>
    <w:semiHidden/>
    <w:rsid w:val="00B92990"/>
    <w:rPr>
      <w:kern w:val="2"/>
      <w:sz w:val="21"/>
      <w:szCs w:val="22"/>
    </w:rPr>
  </w:style>
</w:styles>
</file>

<file path=word/webSettings.xml><?xml version="1.0" encoding="utf-8"?>
<w:webSettings xmlns:r="http://schemas.openxmlformats.org/officeDocument/2006/relationships" xmlns:w="http://schemas.openxmlformats.org/wordprocessingml/2006/main">
  <w:divs>
    <w:div w:id="580800708">
      <w:bodyDiv w:val="1"/>
      <w:marLeft w:val="0"/>
      <w:marRight w:val="0"/>
      <w:marTop w:val="0"/>
      <w:marBottom w:val="0"/>
      <w:divBdr>
        <w:top w:val="none" w:sz="0" w:space="0" w:color="auto"/>
        <w:left w:val="none" w:sz="0" w:space="0" w:color="auto"/>
        <w:bottom w:val="none" w:sz="0" w:space="0" w:color="auto"/>
        <w:right w:val="none" w:sz="0" w:space="0" w:color="auto"/>
      </w:divBdr>
    </w:div>
    <w:div w:id="13593569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4</Pages>
  <Words>579</Words>
  <Characters>3302</Characters>
  <Application>Microsoft Office Word</Application>
  <DocSecurity>4</DocSecurity>
  <PresentationFormat/>
  <Lines>27</Lines>
  <Paragraphs>7</Paragraphs>
  <Slides>0</Slides>
  <Notes>0</Notes>
  <HiddenSlides>0</HiddenSlides>
  <MMClips>0</MMClip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dc:creator>
  <cp:keywords/>
  <cp:lastModifiedBy>ZHONGM</cp:lastModifiedBy>
  <cp:revision>2</cp:revision>
  <cp:lastPrinted>1899-12-30T00:00:00Z</cp:lastPrinted>
  <dcterms:created xsi:type="dcterms:W3CDTF">2021-01-14T16:00:00Z</dcterms:created>
  <dcterms:modified xsi:type="dcterms:W3CDTF">2021-01-14T16:00:00Z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