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4" w:rsidRPr="00850EB4" w:rsidRDefault="00850EB4" w:rsidP="00850EB4">
      <w:pPr>
        <w:jc w:val="center"/>
        <w:rPr>
          <w:rFonts w:ascii="Times New Roman" w:hAnsi="Times New Roman" w:cs="Times New Roman"/>
          <w:b/>
          <w:color w:val="000000" w:themeColor="text1"/>
          <w:sz w:val="36"/>
          <w:szCs w:val="36"/>
        </w:rPr>
      </w:pPr>
      <w:r w:rsidRPr="00850EB4">
        <w:rPr>
          <w:rFonts w:ascii="Times New Roman" w:hAnsi="Times New Roman" w:cs="Times New Roman" w:hint="eastAsia"/>
          <w:b/>
          <w:color w:val="000000" w:themeColor="text1"/>
          <w:sz w:val="36"/>
          <w:szCs w:val="36"/>
        </w:rPr>
        <w:t>泓德基金管理有限公司</w:t>
      </w:r>
    </w:p>
    <w:p w:rsidR="00CD70AE" w:rsidRDefault="00751F56" w:rsidP="00850EB4">
      <w:pPr>
        <w:jc w:val="center"/>
        <w:rPr>
          <w:rFonts w:ascii="Times New Roman" w:hAnsi="Times New Roman" w:cs="Times New Roman"/>
          <w:b/>
          <w:color w:val="000000" w:themeColor="text1"/>
          <w:sz w:val="36"/>
          <w:szCs w:val="36"/>
        </w:rPr>
      </w:pPr>
      <w:r w:rsidRPr="00751F56">
        <w:rPr>
          <w:rFonts w:ascii="Times New Roman" w:hAnsi="Times New Roman" w:cs="Times New Roman" w:hint="eastAsia"/>
          <w:b/>
          <w:color w:val="000000" w:themeColor="text1"/>
          <w:sz w:val="36"/>
          <w:szCs w:val="36"/>
        </w:rPr>
        <w:t>关于旗下部分基金增加</w:t>
      </w:r>
      <w:r w:rsidR="00711B97">
        <w:rPr>
          <w:rFonts w:ascii="Times New Roman" w:hAnsi="Times New Roman" w:cs="Times New Roman" w:hint="eastAsia"/>
          <w:b/>
          <w:color w:val="000000" w:themeColor="text1"/>
          <w:sz w:val="36"/>
          <w:szCs w:val="36"/>
        </w:rPr>
        <w:t>交通</w:t>
      </w:r>
      <w:r w:rsidRPr="00751F56">
        <w:rPr>
          <w:rFonts w:ascii="Times New Roman" w:hAnsi="Times New Roman" w:cs="Times New Roman" w:hint="eastAsia"/>
          <w:b/>
          <w:color w:val="000000" w:themeColor="text1"/>
          <w:sz w:val="36"/>
          <w:szCs w:val="36"/>
        </w:rPr>
        <w:t>银行股份有限公司为销售机构及开通定投和转换业务</w:t>
      </w:r>
      <w:r w:rsidR="00796421">
        <w:rPr>
          <w:rFonts w:ascii="Times New Roman" w:hAnsi="Times New Roman" w:cs="Times New Roman" w:hint="eastAsia"/>
          <w:b/>
          <w:color w:val="000000" w:themeColor="text1"/>
          <w:sz w:val="36"/>
          <w:szCs w:val="36"/>
        </w:rPr>
        <w:t>并参与其</w:t>
      </w:r>
      <w:r w:rsidR="00796421">
        <w:rPr>
          <w:rFonts w:ascii="Times New Roman" w:hAnsi="Times New Roman" w:cs="Times New Roman"/>
          <w:b/>
          <w:color w:val="000000" w:themeColor="text1"/>
          <w:sz w:val="36"/>
          <w:szCs w:val="36"/>
        </w:rPr>
        <w:t>费率优惠</w:t>
      </w:r>
      <w:r w:rsidRPr="00751F56">
        <w:rPr>
          <w:rFonts w:ascii="Times New Roman" w:hAnsi="Times New Roman" w:cs="Times New Roman" w:hint="eastAsia"/>
          <w:b/>
          <w:color w:val="000000" w:themeColor="text1"/>
          <w:sz w:val="36"/>
          <w:szCs w:val="36"/>
        </w:rPr>
        <w:t>的公告</w:t>
      </w:r>
    </w:p>
    <w:p w:rsidR="0068678E" w:rsidRPr="00850EB4" w:rsidRDefault="0068678E" w:rsidP="00850EB4">
      <w:pPr>
        <w:jc w:val="center"/>
        <w:rPr>
          <w:rFonts w:ascii="Times New Roman" w:hAnsi="Times New Roman" w:cs="Times New Roman"/>
          <w:b/>
          <w:color w:val="000000" w:themeColor="text1"/>
          <w:sz w:val="36"/>
          <w:szCs w:val="36"/>
        </w:rPr>
      </w:pPr>
    </w:p>
    <w:p w:rsidR="007D600F" w:rsidRPr="00850EB4" w:rsidRDefault="007D600F" w:rsidP="00850EB4">
      <w:pPr>
        <w:spacing w:line="360" w:lineRule="auto"/>
        <w:ind w:firstLineChars="200" w:firstLine="480"/>
        <w:rPr>
          <w:rFonts w:ascii="Times New Roman" w:eastAsia="宋体" w:hAnsi="Times New Roman" w:cs="Times New Roman"/>
          <w:color w:val="000000"/>
          <w:kern w:val="0"/>
          <w:sz w:val="24"/>
          <w:szCs w:val="24"/>
        </w:rPr>
      </w:pPr>
      <w:r w:rsidRPr="00DE3D41">
        <w:rPr>
          <w:rFonts w:ascii="Times New Roman" w:eastAsia="宋体" w:hAnsi="Times New Roman" w:cs="Times New Roman"/>
          <w:color w:val="000000"/>
          <w:kern w:val="0"/>
          <w:sz w:val="24"/>
          <w:szCs w:val="24"/>
        </w:rPr>
        <w:t>根据泓德基金管理有限公司（以下简称</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本公司</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 xml:space="preserve"> </w:t>
      </w:r>
      <w:r w:rsidRPr="00DE3D41">
        <w:rPr>
          <w:rFonts w:ascii="Times New Roman" w:eastAsia="宋体" w:hAnsi="Times New Roman" w:cs="Times New Roman"/>
          <w:color w:val="000000"/>
          <w:kern w:val="0"/>
          <w:sz w:val="24"/>
          <w:szCs w:val="24"/>
        </w:rPr>
        <w:t>与</w:t>
      </w:r>
      <w:r w:rsidR="00711B97">
        <w:rPr>
          <w:rFonts w:ascii="Times New Roman" w:eastAsia="宋体" w:hAnsi="Times New Roman" w:cs="Times New Roman" w:hint="eastAsia"/>
          <w:color w:val="000000"/>
          <w:kern w:val="0"/>
          <w:sz w:val="24"/>
          <w:szCs w:val="24"/>
        </w:rPr>
        <w:t>交通</w:t>
      </w:r>
      <w:r w:rsidR="00751F56" w:rsidRPr="004B435B">
        <w:rPr>
          <w:rFonts w:ascii="Times New Roman" w:eastAsia="宋体" w:hAnsi="Times New Roman" w:cs="Times New Roman" w:hint="eastAsia"/>
          <w:color w:val="000000"/>
          <w:kern w:val="0"/>
          <w:sz w:val="24"/>
          <w:szCs w:val="24"/>
        </w:rPr>
        <w:t>银行股份有限公司</w:t>
      </w:r>
      <w:r w:rsidRPr="00FB42A0">
        <w:rPr>
          <w:rFonts w:ascii="Times New Roman" w:eastAsia="宋体" w:hAnsi="Times New Roman" w:cs="Times New Roman"/>
          <w:color w:val="000000"/>
          <w:kern w:val="0"/>
          <w:sz w:val="24"/>
          <w:szCs w:val="24"/>
        </w:rPr>
        <w:t>（以下简称</w:t>
      </w:r>
      <w:r w:rsidRPr="00FB42A0">
        <w:rPr>
          <w:rFonts w:ascii="Times New Roman" w:eastAsia="宋体" w:hAnsi="Times New Roman" w:cs="Times New Roman"/>
          <w:color w:val="000000"/>
          <w:kern w:val="0"/>
          <w:sz w:val="24"/>
          <w:szCs w:val="24"/>
        </w:rPr>
        <w:t>“</w:t>
      </w:r>
      <w:r w:rsidR="00711B97">
        <w:rPr>
          <w:rFonts w:ascii="Times New Roman" w:eastAsia="宋体" w:hAnsi="Times New Roman" w:cs="Times New Roman" w:hint="eastAsia"/>
          <w:color w:val="000000"/>
          <w:kern w:val="0"/>
          <w:sz w:val="24"/>
          <w:szCs w:val="24"/>
        </w:rPr>
        <w:t>交通</w:t>
      </w:r>
      <w:r w:rsidR="00751F56" w:rsidRPr="004B435B">
        <w:rPr>
          <w:rFonts w:ascii="Times New Roman" w:eastAsia="宋体" w:hAnsi="Times New Roman" w:cs="Times New Roman" w:hint="eastAsia"/>
          <w:color w:val="000000"/>
          <w:kern w:val="0"/>
          <w:sz w:val="24"/>
          <w:szCs w:val="24"/>
        </w:rPr>
        <w:t>银行</w:t>
      </w:r>
      <w:r w:rsidRPr="00FB42A0">
        <w:rPr>
          <w:rFonts w:ascii="Times New Roman" w:eastAsia="宋体" w:hAnsi="Times New Roman" w:cs="Times New Roman"/>
          <w:color w:val="000000"/>
          <w:kern w:val="0"/>
          <w:sz w:val="24"/>
          <w:szCs w:val="24"/>
        </w:rPr>
        <w:t>”</w:t>
      </w:r>
      <w:r w:rsidRPr="00FB42A0">
        <w:rPr>
          <w:rFonts w:ascii="Times New Roman" w:eastAsia="宋体" w:hAnsi="Times New Roman" w:cs="Times New Roman"/>
          <w:color w:val="000000"/>
          <w:kern w:val="0"/>
          <w:sz w:val="24"/>
          <w:szCs w:val="24"/>
        </w:rPr>
        <w:t>）签署的基金销售服务协议，</w:t>
      </w:r>
      <w:r w:rsidR="004E6DC3" w:rsidRPr="00FB42A0">
        <w:rPr>
          <w:rFonts w:ascii="Times New Roman" w:eastAsia="宋体" w:hAnsi="Times New Roman" w:cs="Times New Roman"/>
          <w:color w:val="000000"/>
          <w:kern w:val="0"/>
          <w:sz w:val="24"/>
          <w:szCs w:val="24"/>
        </w:rPr>
        <w:t>自</w:t>
      </w:r>
      <w:r w:rsidRPr="00FB42A0">
        <w:rPr>
          <w:rFonts w:ascii="Times New Roman" w:eastAsia="宋体" w:hAnsi="Times New Roman" w:cs="Times New Roman"/>
          <w:color w:val="000000"/>
          <w:kern w:val="0"/>
          <w:sz w:val="24"/>
          <w:szCs w:val="24"/>
        </w:rPr>
        <w:t>20</w:t>
      </w:r>
      <w:r w:rsidR="00E06158">
        <w:rPr>
          <w:rFonts w:ascii="Times New Roman" w:eastAsia="宋体" w:hAnsi="Times New Roman" w:cs="Times New Roman"/>
          <w:color w:val="000000"/>
          <w:kern w:val="0"/>
          <w:sz w:val="24"/>
          <w:szCs w:val="24"/>
        </w:rPr>
        <w:t>2</w:t>
      </w:r>
      <w:r w:rsidR="00B12E69">
        <w:rPr>
          <w:rFonts w:ascii="Times New Roman" w:eastAsia="宋体" w:hAnsi="Times New Roman" w:cs="Times New Roman"/>
          <w:color w:val="000000"/>
          <w:kern w:val="0"/>
          <w:sz w:val="24"/>
          <w:szCs w:val="24"/>
        </w:rPr>
        <w:t>1</w:t>
      </w:r>
      <w:r w:rsidRPr="00FB42A0">
        <w:rPr>
          <w:rFonts w:ascii="Times New Roman" w:eastAsia="宋体" w:hAnsi="Times New Roman" w:cs="Times New Roman"/>
          <w:color w:val="000000"/>
          <w:kern w:val="0"/>
          <w:sz w:val="24"/>
          <w:szCs w:val="24"/>
        </w:rPr>
        <w:t>年</w:t>
      </w:r>
      <w:r w:rsidR="00751F56">
        <w:rPr>
          <w:rFonts w:ascii="Times New Roman" w:eastAsia="宋体" w:hAnsi="Times New Roman" w:cs="Times New Roman"/>
          <w:color w:val="000000"/>
          <w:kern w:val="0"/>
          <w:sz w:val="24"/>
          <w:szCs w:val="24"/>
        </w:rPr>
        <w:t>1</w:t>
      </w:r>
      <w:r w:rsidRPr="00FB42A0">
        <w:rPr>
          <w:rFonts w:ascii="Times New Roman" w:eastAsia="宋体" w:hAnsi="Times New Roman" w:cs="Times New Roman"/>
          <w:color w:val="000000"/>
          <w:kern w:val="0"/>
          <w:sz w:val="24"/>
          <w:szCs w:val="24"/>
        </w:rPr>
        <w:t>月</w:t>
      </w:r>
      <w:r w:rsidR="00B12E69">
        <w:rPr>
          <w:rFonts w:ascii="Times New Roman" w:eastAsia="宋体" w:hAnsi="Times New Roman" w:cs="Times New Roman"/>
          <w:color w:val="000000"/>
          <w:kern w:val="0"/>
          <w:sz w:val="24"/>
          <w:szCs w:val="24"/>
        </w:rPr>
        <w:t>14</w:t>
      </w:r>
      <w:r w:rsidRPr="00FB42A0">
        <w:rPr>
          <w:rFonts w:ascii="Times New Roman" w:eastAsia="宋体" w:hAnsi="Times New Roman" w:cs="Times New Roman"/>
          <w:color w:val="000000"/>
          <w:kern w:val="0"/>
          <w:sz w:val="24"/>
          <w:szCs w:val="24"/>
        </w:rPr>
        <w:t>日起，投资者可通过</w:t>
      </w:r>
      <w:r w:rsidR="00711B97">
        <w:rPr>
          <w:rFonts w:ascii="Times New Roman" w:eastAsia="宋体" w:hAnsi="Times New Roman" w:cs="Times New Roman" w:hint="eastAsia"/>
          <w:color w:val="000000"/>
          <w:kern w:val="0"/>
          <w:sz w:val="24"/>
          <w:szCs w:val="24"/>
        </w:rPr>
        <w:t>交通</w:t>
      </w:r>
      <w:r w:rsidR="00711B97" w:rsidRPr="004B435B">
        <w:rPr>
          <w:rFonts w:ascii="Times New Roman" w:eastAsia="宋体" w:hAnsi="Times New Roman" w:cs="Times New Roman" w:hint="eastAsia"/>
          <w:color w:val="000000"/>
          <w:kern w:val="0"/>
          <w:sz w:val="24"/>
          <w:szCs w:val="24"/>
        </w:rPr>
        <w:t>银行</w:t>
      </w:r>
      <w:r w:rsidR="009B3579" w:rsidRPr="00FB42A0">
        <w:rPr>
          <w:rFonts w:ascii="Times New Roman" w:eastAsia="宋体" w:hAnsi="Times New Roman" w:cs="Times New Roman"/>
          <w:color w:val="000000"/>
          <w:kern w:val="0"/>
          <w:sz w:val="24"/>
          <w:szCs w:val="24"/>
        </w:rPr>
        <w:t>办理</w:t>
      </w:r>
      <w:r w:rsidR="006666D0" w:rsidRPr="00FB42A0">
        <w:rPr>
          <w:rFonts w:ascii="Times New Roman" w:eastAsia="宋体" w:hAnsi="Times New Roman" w:cs="Times New Roman"/>
          <w:color w:val="000000"/>
          <w:kern w:val="0"/>
          <w:sz w:val="24"/>
          <w:szCs w:val="24"/>
        </w:rPr>
        <w:t>以下基金</w:t>
      </w:r>
      <w:r w:rsidR="00913A10">
        <w:rPr>
          <w:rFonts w:ascii="Times New Roman" w:eastAsia="宋体" w:hAnsi="Times New Roman" w:cs="Times New Roman" w:hint="eastAsia"/>
          <w:color w:val="000000"/>
          <w:kern w:val="0"/>
          <w:sz w:val="24"/>
          <w:szCs w:val="24"/>
        </w:rPr>
        <w:t>（</w:t>
      </w:r>
      <w:r w:rsidR="00913A10" w:rsidRPr="00FB42A0">
        <w:rPr>
          <w:rFonts w:ascii="Times New Roman" w:eastAsia="宋体" w:hAnsi="Times New Roman" w:cs="Times New Roman"/>
          <w:color w:val="000000"/>
          <w:kern w:val="0"/>
          <w:sz w:val="24"/>
          <w:szCs w:val="24"/>
        </w:rPr>
        <w:t>以下简称</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上述基金</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w:t>
      </w:r>
      <w:r w:rsidR="006666D0" w:rsidRPr="00FB42A0">
        <w:rPr>
          <w:rFonts w:ascii="Times New Roman" w:eastAsia="宋体" w:hAnsi="Times New Roman" w:cs="Times New Roman"/>
          <w:color w:val="000000"/>
          <w:kern w:val="0"/>
          <w:sz w:val="24"/>
          <w:szCs w:val="24"/>
        </w:rPr>
        <w:t>的申购、赎回、定期定额投资（以下简称</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定投</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）和转换等业务。现将有关事项公告如下：</w:t>
      </w:r>
      <w:r w:rsidRPr="00850EB4">
        <w:rPr>
          <w:rFonts w:ascii="Times New Roman" w:eastAsia="宋体" w:hAnsi="Times New Roman" w:cs="Times New Roman"/>
          <w:color w:val="000000"/>
          <w:kern w:val="0"/>
          <w:sz w:val="24"/>
          <w:szCs w:val="24"/>
        </w:rPr>
        <w:t xml:space="preserve"> </w:t>
      </w:r>
    </w:p>
    <w:p w:rsidR="00E012E6" w:rsidRPr="00DE4AD9" w:rsidRDefault="000B480F" w:rsidP="00220A33">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业务范围</w:t>
      </w:r>
    </w:p>
    <w:tbl>
      <w:tblPr>
        <w:tblStyle w:val="a6"/>
        <w:tblW w:w="5000" w:type="pct"/>
        <w:jc w:val="center"/>
        <w:tblLayout w:type="fixed"/>
        <w:tblLook w:val="04A0"/>
      </w:tblPr>
      <w:tblGrid>
        <w:gridCol w:w="674"/>
        <w:gridCol w:w="2489"/>
        <w:gridCol w:w="1341"/>
        <w:gridCol w:w="850"/>
        <w:gridCol w:w="850"/>
        <w:gridCol w:w="1133"/>
        <w:gridCol w:w="1185"/>
      </w:tblGrid>
      <w:tr w:rsidR="001161E9" w:rsidRPr="00FB1A61" w:rsidTr="001161E9">
        <w:trPr>
          <w:tblHeader/>
          <w:jc w:val="center"/>
        </w:trPr>
        <w:tc>
          <w:tcPr>
            <w:tcW w:w="395" w:type="pct"/>
            <w:shd w:val="clear" w:color="auto" w:fill="A6A6A6" w:themeFill="background1" w:themeFillShade="A6"/>
            <w:vAlign w:val="center"/>
          </w:tcPr>
          <w:p w:rsidR="001161E9" w:rsidRPr="00FB1A61" w:rsidRDefault="001161E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hint="eastAsia"/>
                <w:b/>
                <w:szCs w:val="21"/>
              </w:rPr>
              <w:t>序号</w:t>
            </w:r>
          </w:p>
        </w:tc>
        <w:tc>
          <w:tcPr>
            <w:tcW w:w="1460" w:type="pct"/>
            <w:shd w:val="clear" w:color="auto" w:fill="A6A6A6" w:themeFill="background1" w:themeFillShade="A6"/>
            <w:vAlign w:val="center"/>
          </w:tcPr>
          <w:p w:rsidR="001161E9" w:rsidRPr="00FB1A61" w:rsidRDefault="001161E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基金名称</w:t>
            </w:r>
          </w:p>
        </w:tc>
        <w:tc>
          <w:tcPr>
            <w:tcW w:w="787" w:type="pct"/>
            <w:shd w:val="clear" w:color="auto" w:fill="A6A6A6" w:themeFill="background1" w:themeFillShade="A6"/>
            <w:vAlign w:val="center"/>
          </w:tcPr>
          <w:p w:rsidR="001161E9" w:rsidRPr="00FB1A61" w:rsidRDefault="001161E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基金代码</w:t>
            </w:r>
          </w:p>
        </w:tc>
        <w:tc>
          <w:tcPr>
            <w:tcW w:w="499" w:type="pct"/>
            <w:shd w:val="clear" w:color="auto" w:fill="A6A6A6" w:themeFill="background1" w:themeFillShade="A6"/>
            <w:vAlign w:val="center"/>
          </w:tcPr>
          <w:p w:rsidR="001161E9" w:rsidRPr="00FB1A61" w:rsidRDefault="001161E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是否开通转换</w:t>
            </w:r>
          </w:p>
        </w:tc>
        <w:tc>
          <w:tcPr>
            <w:tcW w:w="499" w:type="pct"/>
            <w:shd w:val="clear" w:color="auto" w:fill="A6A6A6" w:themeFill="background1" w:themeFillShade="A6"/>
            <w:vAlign w:val="center"/>
          </w:tcPr>
          <w:p w:rsidR="001161E9" w:rsidRPr="00FB1A61" w:rsidRDefault="001161E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是否开通定投</w:t>
            </w:r>
          </w:p>
        </w:tc>
        <w:tc>
          <w:tcPr>
            <w:tcW w:w="665" w:type="pct"/>
            <w:shd w:val="clear" w:color="auto" w:fill="A6A6A6" w:themeFill="background1" w:themeFillShade="A6"/>
            <w:vAlign w:val="center"/>
          </w:tcPr>
          <w:p w:rsidR="001161E9" w:rsidRPr="00FB1A61" w:rsidRDefault="00B12E69" w:rsidP="00DE3834">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定投</w:t>
            </w:r>
            <w:r w:rsidR="001161E9" w:rsidRPr="00FB1A61">
              <w:rPr>
                <w:rFonts w:ascii="Times New Roman" w:eastAsia="宋体" w:hAnsi="Times New Roman" w:cs="Times New Roman"/>
                <w:b/>
                <w:szCs w:val="21"/>
              </w:rPr>
              <w:t>起点（元）</w:t>
            </w:r>
          </w:p>
        </w:tc>
        <w:tc>
          <w:tcPr>
            <w:tcW w:w="695" w:type="pct"/>
            <w:shd w:val="clear" w:color="auto" w:fill="A6A6A6" w:themeFill="background1" w:themeFillShade="A6"/>
          </w:tcPr>
          <w:p w:rsidR="001161E9" w:rsidRPr="00FB1A61" w:rsidRDefault="001161E9" w:rsidP="001161E9">
            <w:pPr>
              <w:pStyle w:val="a5"/>
              <w:ind w:firstLineChars="0" w:firstLine="0"/>
              <w:jc w:val="center"/>
              <w:rPr>
                <w:rFonts w:ascii="Times New Roman" w:eastAsia="宋体" w:hAnsi="Times New Roman" w:cs="Times New Roman"/>
                <w:b/>
                <w:szCs w:val="21"/>
              </w:rPr>
            </w:pPr>
            <w:r w:rsidRPr="00FB1A61">
              <w:rPr>
                <w:rFonts w:ascii="Times New Roman" w:eastAsia="宋体" w:hAnsi="Times New Roman" w:cs="Times New Roman"/>
                <w:b/>
                <w:szCs w:val="21"/>
              </w:rPr>
              <w:t>是否开通</w:t>
            </w:r>
            <w:r w:rsidRPr="00FB1A61">
              <w:rPr>
                <w:rFonts w:ascii="Times New Roman" w:eastAsia="宋体" w:hAnsi="Times New Roman" w:cs="Times New Roman" w:hint="eastAsia"/>
                <w:b/>
                <w:szCs w:val="21"/>
              </w:rPr>
              <w:t>费率</w:t>
            </w:r>
            <w:r w:rsidRPr="00FB1A61">
              <w:rPr>
                <w:rFonts w:ascii="Times New Roman" w:eastAsia="宋体" w:hAnsi="Times New Roman" w:cs="Times New Roman"/>
                <w:b/>
                <w:szCs w:val="21"/>
              </w:rPr>
              <w:t>优惠</w:t>
            </w:r>
          </w:p>
        </w:tc>
      </w:tr>
      <w:tr w:rsidR="001161E9" w:rsidRPr="00DE4AD9" w:rsidTr="00090301">
        <w:trPr>
          <w:jc w:val="center"/>
        </w:trPr>
        <w:tc>
          <w:tcPr>
            <w:tcW w:w="395" w:type="pct"/>
            <w:vAlign w:val="center"/>
          </w:tcPr>
          <w:p w:rsidR="001161E9" w:rsidRPr="00B12E69" w:rsidRDefault="00B1617B" w:rsidP="001161E9">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w:t>
            </w:r>
          </w:p>
        </w:tc>
        <w:tc>
          <w:tcPr>
            <w:tcW w:w="1460" w:type="pct"/>
            <w:vAlign w:val="center"/>
          </w:tcPr>
          <w:p w:rsidR="001161E9" w:rsidRPr="00B12E69" w:rsidRDefault="001161E9" w:rsidP="001161E9">
            <w:pPr>
              <w:pStyle w:val="a5"/>
              <w:ind w:firstLineChars="0" w:firstLine="0"/>
              <w:jc w:val="center"/>
              <w:rPr>
                <w:color w:val="000000"/>
                <w:kern w:val="0"/>
                <w:szCs w:val="21"/>
              </w:rPr>
            </w:pPr>
            <w:r w:rsidRPr="00B12E69">
              <w:rPr>
                <w:rFonts w:hint="eastAsia"/>
                <w:color w:val="000000"/>
                <w:kern w:val="0"/>
                <w:szCs w:val="21"/>
              </w:rPr>
              <w:t>泓德研究优选混合型证券投资基金</w:t>
            </w:r>
          </w:p>
        </w:tc>
        <w:tc>
          <w:tcPr>
            <w:tcW w:w="787" w:type="pct"/>
            <w:vAlign w:val="center"/>
          </w:tcPr>
          <w:p w:rsidR="001161E9" w:rsidRPr="00996FEB" w:rsidRDefault="001161E9" w:rsidP="001161E9">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006608</w:t>
            </w:r>
          </w:p>
        </w:tc>
        <w:tc>
          <w:tcPr>
            <w:tcW w:w="499" w:type="pct"/>
            <w:vAlign w:val="center"/>
          </w:tcPr>
          <w:p w:rsidR="001161E9" w:rsidRPr="00B12E69" w:rsidRDefault="001161E9" w:rsidP="001161E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1161E9" w:rsidRPr="00B12E69" w:rsidRDefault="001161E9" w:rsidP="001161E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1161E9" w:rsidRPr="00B12E69" w:rsidRDefault="001161E9" w:rsidP="001161E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1161E9" w:rsidRPr="00B12E69" w:rsidRDefault="001161E9" w:rsidP="001161E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1161E9" w:rsidRPr="00DE4AD9" w:rsidTr="001161E9">
        <w:trPr>
          <w:jc w:val="center"/>
        </w:trPr>
        <w:tc>
          <w:tcPr>
            <w:tcW w:w="395" w:type="pct"/>
            <w:vAlign w:val="center"/>
          </w:tcPr>
          <w:p w:rsidR="001161E9" w:rsidRPr="00B12E69" w:rsidRDefault="00B1617B" w:rsidP="00711B97">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2</w:t>
            </w:r>
          </w:p>
        </w:tc>
        <w:tc>
          <w:tcPr>
            <w:tcW w:w="1460" w:type="pct"/>
            <w:vAlign w:val="center"/>
          </w:tcPr>
          <w:p w:rsidR="001161E9" w:rsidRPr="00B12E69" w:rsidRDefault="001161E9" w:rsidP="00711B97">
            <w:pPr>
              <w:pStyle w:val="a5"/>
              <w:ind w:firstLineChars="0" w:firstLine="0"/>
              <w:jc w:val="center"/>
              <w:rPr>
                <w:color w:val="000000"/>
                <w:kern w:val="0"/>
                <w:szCs w:val="21"/>
              </w:rPr>
            </w:pPr>
            <w:r w:rsidRPr="00B12E69">
              <w:rPr>
                <w:rFonts w:ascii="宋体" w:hAnsi="宋体" w:hint="eastAsia"/>
              </w:rPr>
              <w:t>泓德瑞兴三年持有期混合型证券投资基金</w:t>
            </w:r>
          </w:p>
        </w:tc>
        <w:tc>
          <w:tcPr>
            <w:tcW w:w="787" w:type="pct"/>
            <w:vAlign w:val="center"/>
          </w:tcPr>
          <w:p w:rsidR="001161E9" w:rsidRPr="00996FEB" w:rsidRDefault="001161E9" w:rsidP="00711B97">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009264</w:t>
            </w:r>
          </w:p>
        </w:tc>
        <w:tc>
          <w:tcPr>
            <w:tcW w:w="499"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1161E9" w:rsidRPr="00B12E69" w:rsidRDefault="00B12E6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否</w:t>
            </w:r>
          </w:p>
        </w:tc>
      </w:tr>
      <w:tr w:rsidR="00B1617B" w:rsidRPr="00DE4AD9" w:rsidTr="001161E9">
        <w:trPr>
          <w:jc w:val="center"/>
        </w:trPr>
        <w:tc>
          <w:tcPr>
            <w:tcW w:w="395" w:type="pct"/>
            <w:vAlign w:val="center"/>
          </w:tcPr>
          <w:p w:rsidR="00B1617B" w:rsidRPr="00B12E69" w:rsidRDefault="00B1617B" w:rsidP="00B1617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3</w:t>
            </w:r>
          </w:p>
        </w:tc>
        <w:tc>
          <w:tcPr>
            <w:tcW w:w="1460" w:type="pct"/>
            <w:vAlign w:val="center"/>
          </w:tcPr>
          <w:p w:rsidR="00B1617B" w:rsidRPr="00B12E69" w:rsidRDefault="00B1617B" w:rsidP="00B1617B">
            <w:pPr>
              <w:pStyle w:val="a5"/>
              <w:ind w:firstLineChars="0" w:firstLine="0"/>
              <w:jc w:val="center"/>
              <w:rPr>
                <w:color w:val="000000"/>
                <w:kern w:val="0"/>
                <w:szCs w:val="21"/>
              </w:rPr>
            </w:pPr>
            <w:r w:rsidRPr="00B12E69">
              <w:rPr>
                <w:rFonts w:hint="eastAsia"/>
                <w:color w:val="000000"/>
                <w:kern w:val="0"/>
                <w:szCs w:val="21"/>
              </w:rPr>
              <w:t>泓德致远混合型证券投资基金</w:t>
            </w:r>
          </w:p>
        </w:tc>
        <w:tc>
          <w:tcPr>
            <w:tcW w:w="787" w:type="pct"/>
            <w:vAlign w:val="center"/>
          </w:tcPr>
          <w:p w:rsidR="00B1617B" w:rsidRPr="00996FEB" w:rsidRDefault="00B1617B" w:rsidP="00B1617B">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004965/004966</w:t>
            </w:r>
          </w:p>
        </w:tc>
        <w:tc>
          <w:tcPr>
            <w:tcW w:w="499"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B1617B" w:rsidRPr="00DE4AD9" w:rsidTr="001161E9">
        <w:trPr>
          <w:jc w:val="center"/>
        </w:trPr>
        <w:tc>
          <w:tcPr>
            <w:tcW w:w="395" w:type="pct"/>
            <w:vAlign w:val="center"/>
          </w:tcPr>
          <w:p w:rsidR="00B1617B" w:rsidRPr="00B12E69" w:rsidRDefault="00B1617B" w:rsidP="00B1617B">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4</w:t>
            </w:r>
          </w:p>
        </w:tc>
        <w:tc>
          <w:tcPr>
            <w:tcW w:w="1460" w:type="pct"/>
            <w:vAlign w:val="center"/>
          </w:tcPr>
          <w:p w:rsidR="00B1617B" w:rsidRPr="00B12E69" w:rsidRDefault="00B1617B" w:rsidP="00B1617B">
            <w:pPr>
              <w:pStyle w:val="a5"/>
              <w:ind w:firstLineChars="0" w:firstLine="0"/>
              <w:jc w:val="center"/>
              <w:rPr>
                <w:color w:val="000000"/>
                <w:kern w:val="0"/>
                <w:szCs w:val="21"/>
              </w:rPr>
            </w:pPr>
            <w:r w:rsidRPr="00B12E69">
              <w:rPr>
                <w:rFonts w:hint="eastAsia"/>
                <w:color w:val="000000"/>
                <w:kern w:val="0"/>
                <w:szCs w:val="21"/>
              </w:rPr>
              <w:t>泓德丰润三年持有期混合型证券投资基金</w:t>
            </w:r>
          </w:p>
        </w:tc>
        <w:tc>
          <w:tcPr>
            <w:tcW w:w="787" w:type="pct"/>
            <w:vAlign w:val="center"/>
          </w:tcPr>
          <w:p w:rsidR="00B1617B" w:rsidRPr="00996FEB" w:rsidRDefault="00B1617B" w:rsidP="00B1617B">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008545</w:t>
            </w:r>
          </w:p>
        </w:tc>
        <w:tc>
          <w:tcPr>
            <w:tcW w:w="499"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617B" w:rsidRPr="00B12E69" w:rsidRDefault="00B1617B" w:rsidP="00B1617B">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否</w:t>
            </w:r>
          </w:p>
        </w:tc>
      </w:tr>
      <w:tr w:rsidR="001161E9" w:rsidRPr="00DE4AD9" w:rsidTr="001161E9">
        <w:trPr>
          <w:jc w:val="center"/>
        </w:trPr>
        <w:tc>
          <w:tcPr>
            <w:tcW w:w="395" w:type="pct"/>
            <w:vAlign w:val="center"/>
          </w:tcPr>
          <w:p w:rsidR="001161E9" w:rsidRPr="00B12E69" w:rsidRDefault="00B12E69" w:rsidP="00711B97">
            <w:pPr>
              <w:pStyle w:val="a5"/>
              <w:ind w:firstLineChars="0" w:firstLine="0"/>
              <w:jc w:val="center"/>
              <w:rPr>
                <w:rFonts w:ascii="Times New Roman" w:eastAsia="宋体" w:hAnsi="Times New Roman" w:cs="Times New Roman"/>
                <w:szCs w:val="21"/>
              </w:rPr>
            </w:pPr>
            <w:r w:rsidRPr="00B12E69">
              <w:rPr>
                <w:rFonts w:ascii="Times New Roman" w:eastAsia="宋体" w:hAnsi="Times New Roman" w:cs="Times New Roman"/>
                <w:szCs w:val="21"/>
              </w:rPr>
              <w:t>5</w:t>
            </w:r>
          </w:p>
        </w:tc>
        <w:tc>
          <w:tcPr>
            <w:tcW w:w="1460" w:type="pct"/>
            <w:vAlign w:val="center"/>
          </w:tcPr>
          <w:p w:rsidR="001161E9" w:rsidRPr="00B12E69" w:rsidRDefault="001161E9" w:rsidP="00711B97">
            <w:pPr>
              <w:pStyle w:val="a5"/>
              <w:ind w:firstLineChars="0" w:firstLine="0"/>
              <w:jc w:val="center"/>
              <w:rPr>
                <w:rFonts w:ascii="宋体" w:hAnsi="宋体"/>
              </w:rPr>
            </w:pPr>
            <w:r w:rsidRPr="00B12E69">
              <w:rPr>
                <w:rFonts w:ascii="宋体" w:hAnsi="宋体" w:hint="eastAsia"/>
              </w:rPr>
              <w:t>泓德睿享一年持有期混合型证券投资基金</w:t>
            </w:r>
          </w:p>
        </w:tc>
        <w:tc>
          <w:tcPr>
            <w:tcW w:w="787" w:type="pct"/>
            <w:vAlign w:val="center"/>
          </w:tcPr>
          <w:p w:rsidR="001161E9" w:rsidRPr="00996FEB" w:rsidRDefault="001161E9" w:rsidP="00711B97">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009015/009016</w:t>
            </w:r>
          </w:p>
        </w:tc>
        <w:tc>
          <w:tcPr>
            <w:tcW w:w="499"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1161E9" w:rsidRPr="00B12E69" w:rsidRDefault="001161E9" w:rsidP="00711B97">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B12E69" w:rsidRPr="00DE4AD9" w:rsidTr="001161E9">
        <w:trPr>
          <w:jc w:val="center"/>
        </w:trPr>
        <w:tc>
          <w:tcPr>
            <w:tcW w:w="395" w:type="pct"/>
            <w:vAlign w:val="center"/>
          </w:tcPr>
          <w:p w:rsidR="00B12E69" w:rsidRPr="00B12E69" w:rsidRDefault="00B12E69" w:rsidP="00B12E69">
            <w:pPr>
              <w:pStyle w:val="a5"/>
              <w:ind w:firstLineChars="0" w:firstLine="0"/>
              <w:jc w:val="center"/>
              <w:rPr>
                <w:rFonts w:ascii="Times New Roman" w:eastAsia="宋体" w:hAnsi="Times New Roman" w:cs="Times New Roman"/>
                <w:szCs w:val="21"/>
              </w:rPr>
            </w:pPr>
            <w:r w:rsidRPr="00B12E69">
              <w:rPr>
                <w:rFonts w:ascii="Times New Roman" w:eastAsia="宋体" w:hAnsi="Times New Roman" w:cs="Times New Roman" w:hint="eastAsia"/>
                <w:szCs w:val="21"/>
              </w:rPr>
              <w:t>6</w:t>
            </w:r>
          </w:p>
        </w:tc>
        <w:tc>
          <w:tcPr>
            <w:tcW w:w="1460" w:type="pct"/>
            <w:vAlign w:val="center"/>
          </w:tcPr>
          <w:p w:rsidR="00B12E69" w:rsidRPr="00B12E69" w:rsidRDefault="00B12E69" w:rsidP="00B12E69">
            <w:pPr>
              <w:pStyle w:val="a5"/>
              <w:ind w:firstLineChars="0" w:firstLine="0"/>
              <w:jc w:val="center"/>
              <w:rPr>
                <w:rFonts w:ascii="宋体" w:hAnsi="宋体"/>
              </w:rPr>
            </w:pPr>
            <w:r w:rsidRPr="00B12E69">
              <w:rPr>
                <w:rFonts w:hint="eastAsia"/>
              </w:rPr>
              <w:t>泓德裕康债券型证券投资基金</w:t>
            </w:r>
          </w:p>
        </w:tc>
        <w:tc>
          <w:tcPr>
            <w:tcW w:w="787" w:type="pct"/>
            <w:vAlign w:val="center"/>
          </w:tcPr>
          <w:p w:rsidR="00B12E69" w:rsidRPr="00996FEB" w:rsidRDefault="00B12E69" w:rsidP="00B12E69">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002738/002739</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B12E69" w:rsidRPr="00DE4AD9" w:rsidTr="001161E9">
        <w:trPr>
          <w:jc w:val="center"/>
        </w:trPr>
        <w:tc>
          <w:tcPr>
            <w:tcW w:w="395" w:type="pct"/>
            <w:vAlign w:val="center"/>
          </w:tcPr>
          <w:p w:rsidR="00B12E69" w:rsidRPr="00B12E69" w:rsidRDefault="00B12E69" w:rsidP="00B12E69">
            <w:pPr>
              <w:pStyle w:val="a5"/>
              <w:ind w:firstLineChars="0" w:firstLine="0"/>
              <w:jc w:val="center"/>
              <w:rPr>
                <w:rFonts w:ascii="Times New Roman" w:eastAsia="宋体" w:hAnsi="Times New Roman" w:cs="Times New Roman"/>
                <w:szCs w:val="21"/>
              </w:rPr>
            </w:pPr>
            <w:r w:rsidRPr="00B12E69">
              <w:rPr>
                <w:rFonts w:ascii="Times New Roman" w:eastAsia="宋体" w:hAnsi="Times New Roman" w:cs="Times New Roman" w:hint="eastAsia"/>
                <w:szCs w:val="21"/>
              </w:rPr>
              <w:t>7</w:t>
            </w:r>
          </w:p>
        </w:tc>
        <w:tc>
          <w:tcPr>
            <w:tcW w:w="1460" w:type="pct"/>
            <w:vAlign w:val="center"/>
          </w:tcPr>
          <w:p w:rsidR="00B12E69" w:rsidRPr="00B12E69" w:rsidRDefault="00B12E69" w:rsidP="00B12E69">
            <w:pPr>
              <w:pStyle w:val="a5"/>
              <w:ind w:firstLineChars="0" w:firstLine="0"/>
              <w:jc w:val="center"/>
              <w:rPr>
                <w:rFonts w:ascii="宋体" w:hAnsi="宋体"/>
              </w:rPr>
            </w:pPr>
            <w:r w:rsidRPr="00B12E69">
              <w:rPr>
                <w:rFonts w:hint="eastAsia"/>
              </w:rPr>
              <w:t>泓德裕祥债券型证券投资基金</w:t>
            </w:r>
          </w:p>
        </w:tc>
        <w:tc>
          <w:tcPr>
            <w:tcW w:w="787" w:type="pct"/>
            <w:vAlign w:val="center"/>
          </w:tcPr>
          <w:p w:rsidR="00B12E69" w:rsidRPr="00996FEB" w:rsidRDefault="00B12E69" w:rsidP="00B12E69">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002742/0027</w:t>
            </w:r>
            <w:r w:rsidRPr="00996FEB">
              <w:rPr>
                <w:rFonts w:ascii="Times New Roman" w:hAnsi="Times New Roman" w:cs="Times New Roman"/>
                <w:szCs w:val="21"/>
              </w:rPr>
              <w:lastRenderedPageBreak/>
              <w:t>43</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lastRenderedPageBreak/>
              <w:t>是</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B12E69" w:rsidRPr="00DE4AD9" w:rsidTr="001161E9">
        <w:trPr>
          <w:jc w:val="center"/>
        </w:trPr>
        <w:tc>
          <w:tcPr>
            <w:tcW w:w="395" w:type="pct"/>
            <w:vAlign w:val="center"/>
          </w:tcPr>
          <w:p w:rsidR="00B12E69" w:rsidRPr="00B12E69" w:rsidRDefault="00B12E69" w:rsidP="00B12E69">
            <w:pPr>
              <w:pStyle w:val="a5"/>
              <w:ind w:firstLineChars="0" w:firstLine="0"/>
              <w:jc w:val="center"/>
              <w:rPr>
                <w:rFonts w:ascii="Times New Roman" w:eastAsia="宋体" w:hAnsi="Times New Roman" w:cs="Times New Roman"/>
                <w:szCs w:val="21"/>
              </w:rPr>
            </w:pPr>
            <w:r w:rsidRPr="00B12E69">
              <w:rPr>
                <w:rFonts w:ascii="Times New Roman" w:eastAsia="宋体" w:hAnsi="Times New Roman" w:cs="Times New Roman" w:hint="eastAsia"/>
                <w:szCs w:val="21"/>
              </w:rPr>
              <w:lastRenderedPageBreak/>
              <w:t>8</w:t>
            </w:r>
          </w:p>
        </w:tc>
        <w:tc>
          <w:tcPr>
            <w:tcW w:w="1460" w:type="pct"/>
            <w:vAlign w:val="center"/>
          </w:tcPr>
          <w:p w:rsidR="00B12E69" w:rsidRPr="00B12E69" w:rsidRDefault="00B12E69" w:rsidP="00B12E69">
            <w:pPr>
              <w:pStyle w:val="a5"/>
              <w:ind w:firstLineChars="0" w:firstLine="0"/>
              <w:jc w:val="center"/>
              <w:rPr>
                <w:rFonts w:ascii="宋体" w:hAnsi="宋体"/>
              </w:rPr>
            </w:pPr>
            <w:r w:rsidRPr="00B12E69">
              <w:rPr>
                <w:rFonts w:hint="eastAsia"/>
              </w:rPr>
              <w:t>泓德裕荣纯债债券型证券投资基金</w:t>
            </w:r>
          </w:p>
        </w:tc>
        <w:tc>
          <w:tcPr>
            <w:tcW w:w="787" w:type="pct"/>
            <w:vAlign w:val="center"/>
          </w:tcPr>
          <w:p w:rsidR="00B12E69" w:rsidRPr="00996FEB" w:rsidRDefault="00B12E69" w:rsidP="00B12E69">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 xml:space="preserve">002734/002735 </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r w:rsidR="00B12E69" w:rsidRPr="00DE4AD9" w:rsidTr="001161E9">
        <w:trPr>
          <w:jc w:val="center"/>
        </w:trPr>
        <w:tc>
          <w:tcPr>
            <w:tcW w:w="395" w:type="pct"/>
            <w:vAlign w:val="center"/>
          </w:tcPr>
          <w:p w:rsidR="00B12E69" w:rsidRPr="00B12E69" w:rsidRDefault="00B12E69" w:rsidP="00B12E69">
            <w:pPr>
              <w:pStyle w:val="a5"/>
              <w:ind w:firstLineChars="0" w:firstLine="0"/>
              <w:jc w:val="center"/>
              <w:rPr>
                <w:rFonts w:ascii="Times New Roman" w:eastAsia="宋体" w:hAnsi="Times New Roman" w:cs="Times New Roman"/>
                <w:szCs w:val="21"/>
              </w:rPr>
            </w:pPr>
            <w:r w:rsidRPr="00B12E69">
              <w:rPr>
                <w:rFonts w:ascii="Times New Roman" w:eastAsia="宋体" w:hAnsi="Times New Roman" w:cs="Times New Roman" w:hint="eastAsia"/>
                <w:szCs w:val="21"/>
              </w:rPr>
              <w:t>9</w:t>
            </w:r>
          </w:p>
        </w:tc>
        <w:tc>
          <w:tcPr>
            <w:tcW w:w="1460" w:type="pct"/>
            <w:vAlign w:val="center"/>
          </w:tcPr>
          <w:p w:rsidR="00B12E69" w:rsidRPr="00B12E69" w:rsidRDefault="00B12E69" w:rsidP="00B12E69">
            <w:pPr>
              <w:pStyle w:val="a5"/>
              <w:ind w:firstLineChars="0" w:firstLine="0"/>
              <w:jc w:val="center"/>
              <w:rPr>
                <w:rFonts w:ascii="宋体" w:hAnsi="宋体"/>
              </w:rPr>
            </w:pPr>
            <w:r w:rsidRPr="00B12E69">
              <w:rPr>
                <w:rFonts w:hint="eastAsia"/>
              </w:rPr>
              <w:t>泓德裕丰中短债债券型证券投资基金</w:t>
            </w:r>
          </w:p>
        </w:tc>
        <w:tc>
          <w:tcPr>
            <w:tcW w:w="787" w:type="pct"/>
            <w:vAlign w:val="center"/>
          </w:tcPr>
          <w:p w:rsidR="00B12E69" w:rsidRPr="00996FEB" w:rsidRDefault="00B12E69" w:rsidP="00B12E69">
            <w:pPr>
              <w:pStyle w:val="a5"/>
              <w:spacing w:line="360" w:lineRule="auto"/>
              <w:ind w:firstLineChars="0" w:firstLine="0"/>
              <w:jc w:val="center"/>
              <w:rPr>
                <w:rFonts w:ascii="Times New Roman" w:hAnsi="Times New Roman" w:cs="Times New Roman"/>
                <w:szCs w:val="21"/>
              </w:rPr>
            </w:pPr>
            <w:r w:rsidRPr="00996FEB">
              <w:rPr>
                <w:rFonts w:ascii="Times New Roman" w:hAnsi="Times New Roman" w:cs="Times New Roman"/>
                <w:szCs w:val="21"/>
              </w:rPr>
              <w:t>A</w:t>
            </w:r>
            <w:r w:rsidRPr="00996FEB">
              <w:rPr>
                <w:rFonts w:ascii="Times New Roman" w:hAnsi="Times New Roman" w:cs="Times New Roman"/>
                <w:szCs w:val="21"/>
              </w:rPr>
              <w:t>类</w:t>
            </w:r>
            <w:r w:rsidRPr="00996FEB">
              <w:rPr>
                <w:rFonts w:ascii="Times New Roman" w:hAnsi="Times New Roman" w:cs="Times New Roman"/>
                <w:szCs w:val="21"/>
              </w:rPr>
              <w:t>/C</w:t>
            </w:r>
            <w:r w:rsidRPr="00996FEB">
              <w:rPr>
                <w:rFonts w:ascii="Times New Roman" w:hAnsi="Times New Roman" w:cs="Times New Roman"/>
                <w:szCs w:val="21"/>
              </w:rPr>
              <w:t>类：</w:t>
            </w:r>
            <w:r w:rsidRPr="00996FEB">
              <w:rPr>
                <w:rFonts w:ascii="Times New Roman" w:hAnsi="Times New Roman" w:cs="Times New Roman"/>
                <w:szCs w:val="21"/>
              </w:rPr>
              <w:t>006606/006607</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499"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c>
          <w:tcPr>
            <w:tcW w:w="66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szCs w:val="21"/>
              </w:rPr>
              <w:t>100</w:t>
            </w:r>
          </w:p>
        </w:tc>
        <w:tc>
          <w:tcPr>
            <w:tcW w:w="695" w:type="pct"/>
            <w:vAlign w:val="center"/>
          </w:tcPr>
          <w:p w:rsidR="00B12E69" w:rsidRPr="00B12E69" w:rsidRDefault="00B12E69" w:rsidP="00B12E69">
            <w:pPr>
              <w:pStyle w:val="a5"/>
              <w:spacing w:line="360" w:lineRule="auto"/>
              <w:ind w:firstLineChars="0" w:firstLine="0"/>
              <w:jc w:val="center"/>
              <w:rPr>
                <w:rFonts w:ascii="Times New Roman" w:hAnsi="Times New Roman" w:cs="Times New Roman"/>
                <w:szCs w:val="21"/>
              </w:rPr>
            </w:pPr>
            <w:r w:rsidRPr="00B12E69">
              <w:rPr>
                <w:rFonts w:ascii="Times New Roman" w:hAnsi="Times New Roman" w:cs="Times New Roman" w:hint="eastAsia"/>
                <w:szCs w:val="21"/>
              </w:rPr>
              <w:t>是</w:t>
            </w:r>
          </w:p>
        </w:tc>
      </w:tr>
    </w:tbl>
    <w:p w:rsidR="00711B97" w:rsidRDefault="0068678E" w:rsidP="00220A33">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费率</w:t>
      </w:r>
      <w:r>
        <w:rPr>
          <w:rFonts w:ascii="Times New Roman" w:eastAsia="宋体" w:hAnsi="Times New Roman" w:cs="Times New Roman"/>
          <w:b/>
          <w:color w:val="000000"/>
          <w:kern w:val="0"/>
          <w:sz w:val="24"/>
          <w:szCs w:val="24"/>
        </w:rPr>
        <w:t>优惠</w:t>
      </w:r>
    </w:p>
    <w:p w:rsidR="0068678E" w:rsidRPr="0068678E" w:rsidRDefault="0068678E" w:rsidP="0068678E">
      <w:pPr>
        <w:pStyle w:val="a5"/>
        <w:autoSpaceDE w:val="0"/>
        <w:autoSpaceDN w:val="0"/>
        <w:adjustRightInd w:val="0"/>
        <w:spacing w:line="360" w:lineRule="auto"/>
        <w:ind w:left="480" w:firstLineChars="0" w:firstLine="0"/>
        <w:jc w:val="left"/>
        <w:rPr>
          <w:rFonts w:ascii="Times New Roman" w:eastAsia="宋体" w:hAnsi="Times New Roman" w:cs="Times New Roman"/>
          <w:color w:val="000000"/>
          <w:kern w:val="0"/>
          <w:sz w:val="24"/>
          <w:szCs w:val="24"/>
        </w:rPr>
      </w:pPr>
      <w:r w:rsidRPr="0068678E">
        <w:rPr>
          <w:rFonts w:ascii="Times New Roman" w:eastAsia="宋体" w:hAnsi="Times New Roman" w:cs="Times New Roman"/>
          <w:color w:val="000000"/>
          <w:kern w:val="0"/>
          <w:sz w:val="24"/>
          <w:szCs w:val="24"/>
        </w:rPr>
        <w:t>1</w:t>
      </w:r>
      <w:r w:rsidRPr="0068678E">
        <w:rPr>
          <w:rFonts w:ascii="Times New Roman" w:eastAsia="宋体" w:hAnsi="Times New Roman" w:cs="Times New Roman"/>
          <w:color w:val="000000"/>
          <w:kern w:val="0"/>
          <w:sz w:val="24"/>
          <w:szCs w:val="24"/>
        </w:rPr>
        <w:t>、关于费率优惠内容</w:t>
      </w:r>
    </w:p>
    <w:p w:rsidR="00B366CD" w:rsidRDefault="00B12E69" w:rsidP="00B366CD">
      <w:pPr>
        <w:spacing w:line="360" w:lineRule="auto"/>
        <w:ind w:firstLineChars="200" w:firstLine="480"/>
        <w:rPr>
          <w:rFonts w:ascii="Times New Roman" w:eastAsia="宋体" w:hAnsi="Times New Roman" w:cs="Times New Roman"/>
          <w:color w:val="000000"/>
          <w:kern w:val="0"/>
          <w:sz w:val="24"/>
          <w:szCs w:val="24"/>
        </w:rPr>
      </w:pPr>
      <w:r w:rsidRPr="00B12E69">
        <w:rPr>
          <w:rFonts w:ascii="Times New Roman" w:eastAsia="宋体" w:hAnsi="Times New Roman" w:cs="Times New Roman" w:hint="eastAsia"/>
          <w:color w:val="000000"/>
          <w:kern w:val="0"/>
          <w:sz w:val="24"/>
          <w:szCs w:val="24"/>
        </w:rPr>
        <w:t>费率优惠期间，凡已领取“基金</w:t>
      </w:r>
      <w:r w:rsidRPr="00B12E69">
        <w:rPr>
          <w:rFonts w:ascii="Times New Roman" w:eastAsia="宋体" w:hAnsi="Times New Roman" w:cs="Times New Roman" w:hint="eastAsia"/>
          <w:color w:val="000000"/>
          <w:kern w:val="0"/>
          <w:sz w:val="24"/>
          <w:szCs w:val="24"/>
        </w:rPr>
        <w:t>1</w:t>
      </w:r>
      <w:r w:rsidRPr="00B12E69">
        <w:rPr>
          <w:rFonts w:ascii="Times New Roman" w:eastAsia="宋体" w:hAnsi="Times New Roman" w:cs="Times New Roman" w:hint="eastAsia"/>
          <w:color w:val="000000"/>
          <w:kern w:val="0"/>
          <w:sz w:val="24"/>
          <w:szCs w:val="24"/>
        </w:rPr>
        <w:t>折权益”的个人投资者，通过交通银行手机银行渠道申购上述</w:t>
      </w:r>
      <w:r w:rsidR="00B366CD" w:rsidRPr="00B366CD">
        <w:rPr>
          <w:rFonts w:ascii="Times New Roman" w:eastAsia="宋体" w:hAnsi="Times New Roman" w:cs="Times New Roman" w:hint="eastAsia"/>
          <w:color w:val="000000"/>
          <w:kern w:val="0"/>
          <w:sz w:val="24"/>
          <w:szCs w:val="24"/>
        </w:rPr>
        <w:t>开通费率优惠的基金</w:t>
      </w:r>
      <w:r w:rsidRPr="00B12E69">
        <w:rPr>
          <w:rFonts w:ascii="Times New Roman" w:eastAsia="宋体" w:hAnsi="Times New Roman" w:cs="Times New Roman" w:hint="eastAsia"/>
          <w:color w:val="000000"/>
          <w:kern w:val="0"/>
          <w:sz w:val="24"/>
          <w:szCs w:val="24"/>
        </w:rPr>
        <w:t>，基金申购费率享受</w:t>
      </w:r>
      <w:r w:rsidRPr="00B12E69">
        <w:rPr>
          <w:rFonts w:ascii="Times New Roman" w:eastAsia="宋体" w:hAnsi="Times New Roman" w:cs="Times New Roman" w:hint="eastAsia"/>
          <w:color w:val="000000"/>
          <w:kern w:val="0"/>
          <w:sz w:val="24"/>
          <w:szCs w:val="24"/>
        </w:rPr>
        <w:t>1</w:t>
      </w:r>
      <w:r w:rsidRPr="00B12E69">
        <w:rPr>
          <w:rFonts w:ascii="Times New Roman" w:eastAsia="宋体" w:hAnsi="Times New Roman" w:cs="Times New Roman" w:hint="eastAsia"/>
          <w:color w:val="000000"/>
          <w:kern w:val="0"/>
          <w:sz w:val="24"/>
          <w:szCs w:val="24"/>
        </w:rPr>
        <w:t>折优惠。</w:t>
      </w:r>
    </w:p>
    <w:p w:rsidR="00B12E69" w:rsidRPr="00B12E69" w:rsidRDefault="00B12E69" w:rsidP="00B366CD">
      <w:pPr>
        <w:spacing w:line="360" w:lineRule="auto"/>
        <w:ind w:firstLineChars="200" w:firstLine="480"/>
        <w:rPr>
          <w:rFonts w:ascii="Times New Roman" w:eastAsia="宋体" w:hAnsi="Times New Roman" w:cs="Times New Roman"/>
          <w:color w:val="000000"/>
          <w:kern w:val="0"/>
          <w:sz w:val="24"/>
          <w:szCs w:val="24"/>
        </w:rPr>
      </w:pPr>
      <w:r w:rsidRPr="00B12E69">
        <w:rPr>
          <w:rFonts w:ascii="Times New Roman" w:eastAsia="宋体" w:hAnsi="Times New Roman" w:cs="Times New Roman" w:hint="eastAsia"/>
          <w:color w:val="000000"/>
          <w:kern w:val="0"/>
          <w:sz w:val="24"/>
          <w:szCs w:val="24"/>
        </w:rPr>
        <w:t>费率优惠期间，</w:t>
      </w:r>
      <w:r w:rsidRPr="00B12E69">
        <w:rPr>
          <w:rFonts w:ascii="Times New Roman" w:eastAsia="宋体" w:hAnsi="Times New Roman" w:cs="Times New Roman"/>
          <w:color w:val="000000"/>
          <w:kern w:val="0"/>
          <w:sz w:val="24"/>
          <w:szCs w:val="24"/>
        </w:rPr>
        <w:t>凡已领取</w:t>
      </w:r>
      <w:r w:rsidRPr="00B12E69">
        <w:rPr>
          <w:rFonts w:ascii="Times New Roman" w:eastAsia="宋体" w:hAnsi="Times New Roman" w:cs="Times New Roman" w:hint="eastAsia"/>
          <w:color w:val="000000"/>
          <w:kern w:val="0"/>
          <w:sz w:val="24"/>
          <w:szCs w:val="24"/>
        </w:rPr>
        <w:t>“基金</w:t>
      </w:r>
      <w:r w:rsidRPr="00B12E69">
        <w:rPr>
          <w:rFonts w:ascii="Times New Roman" w:eastAsia="宋体" w:hAnsi="Times New Roman" w:cs="Times New Roman" w:hint="eastAsia"/>
          <w:color w:val="000000"/>
          <w:kern w:val="0"/>
          <w:sz w:val="24"/>
          <w:szCs w:val="24"/>
        </w:rPr>
        <w:t>1</w:t>
      </w:r>
      <w:r w:rsidRPr="00B12E69">
        <w:rPr>
          <w:rFonts w:ascii="Times New Roman" w:eastAsia="宋体" w:hAnsi="Times New Roman" w:cs="Times New Roman" w:hint="eastAsia"/>
          <w:color w:val="000000"/>
          <w:kern w:val="0"/>
          <w:sz w:val="24"/>
          <w:szCs w:val="24"/>
        </w:rPr>
        <w:t>折权益”</w:t>
      </w:r>
      <w:r w:rsidRPr="00B12E69">
        <w:rPr>
          <w:rFonts w:ascii="Times New Roman" w:eastAsia="宋体" w:hAnsi="Times New Roman" w:cs="Times New Roman"/>
          <w:color w:val="000000"/>
          <w:kern w:val="0"/>
          <w:sz w:val="24"/>
          <w:szCs w:val="24"/>
        </w:rPr>
        <w:t>的个人投资者，通过交通银行手机银行渠道签约</w:t>
      </w:r>
      <w:r w:rsidR="00B366CD" w:rsidRPr="00B12E69">
        <w:rPr>
          <w:rFonts w:ascii="Times New Roman" w:eastAsia="宋体" w:hAnsi="Times New Roman" w:cs="Times New Roman" w:hint="eastAsia"/>
          <w:color w:val="000000"/>
          <w:kern w:val="0"/>
          <w:sz w:val="24"/>
          <w:szCs w:val="24"/>
        </w:rPr>
        <w:t>上述</w:t>
      </w:r>
      <w:r w:rsidR="00B366CD" w:rsidRPr="00B366CD">
        <w:rPr>
          <w:rFonts w:ascii="Times New Roman" w:eastAsia="宋体" w:hAnsi="Times New Roman" w:cs="Times New Roman" w:hint="eastAsia"/>
          <w:color w:val="000000"/>
          <w:kern w:val="0"/>
          <w:sz w:val="24"/>
          <w:szCs w:val="24"/>
        </w:rPr>
        <w:t>开通费率优惠的基金</w:t>
      </w:r>
      <w:r w:rsidRPr="00B12E69">
        <w:rPr>
          <w:rFonts w:ascii="Times New Roman" w:eastAsia="宋体" w:hAnsi="Times New Roman" w:cs="Times New Roman"/>
          <w:color w:val="000000"/>
          <w:kern w:val="0"/>
          <w:sz w:val="24"/>
          <w:szCs w:val="24"/>
        </w:rPr>
        <w:t>定投协议，并于活动期间成功扣款的定投交易，</w:t>
      </w:r>
      <w:r w:rsidRPr="00B12E69">
        <w:rPr>
          <w:rFonts w:ascii="Times New Roman" w:eastAsia="宋体" w:hAnsi="Times New Roman" w:cs="Times New Roman" w:hint="eastAsia"/>
          <w:color w:val="000000"/>
          <w:kern w:val="0"/>
          <w:sz w:val="24"/>
          <w:szCs w:val="24"/>
        </w:rPr>
        <w:t>基金</w:t>
      </w:r>
      <w:r w:rsidRPr="00B12E69">
        <w:rPr>
          <w:rFonts w:ascii="Times New Roman" w:eastAsia="宋体" w:hAnsi="Times New Roman" w:cs="Times New Roman"/>
          <w:color w:val="000000"/>
          <w:kern w:val="0"/>
          <w:sz w:val="24"/>
          <w:szCs w:val="24"/>
        </w:rPr>
        <w:t>定投</w:t>
      </w:r>
      <w:r w:rsidRPr="00B12E69">
        <w:rPr>
          <w:rFonts w:ascii="Times New Roman" w:eastAsia="宋体" w:hAnsi="Times New Roman" w:cs="Times New Roman" w:hint="eastAsia"/>
          <w:color w:val="000000"/>
          <w:kern w:val="0"/>
          <w:sz w:val="24"/>
          <w:szCs w:val="24"/>
        </w:rPr>
        <w:t>申购费率享受</w:t>
      </w:r>
      <w:r w:rsidRPr="00B12E69">
        <w:rPr>
          <w:rFonts w:ascii="Times New Roman" w:eastAsia="宋体" w:hAnsi="Times New Roman" w:cs="Times New Roman"/>
          <w:color w:val="000000"/>
          <w:kern w:val="0"/>
          <w:sz w:val="24"/>
          <w:szCs w:val="24"/>
        </w:rPr>
        <w:t>1</w:t>
      </w:r>
      <w:r w:rsidRPr="00B12E69">
        <w:rPr>
          <w:rFonts w:ascii="Times New Roman" w:eastAsia="宋体" w:hAnsi="Times New Roman" w:cs="Times New Roman"/>
          <w:color w:val="000000"/>
          <w:kern w:val="0"/>
          <w:sz w:val="24"/>
          <w:szCs w:val="24"/>
        </w:rPr>
        <w:t>折优惠。</w:t>
      </w:r>
      <w:r w:rsidRPr="00B12E69">
        <w:rPr>
          <w:rFonts w:ascii="Times New Roman" w:eastAsia="宋体" w:hAnsi="Times New Roman" w:cs="Times New Roman" w:hint="eastAsia"/>
          <w:color w:val="000000"/>
          <w:kern w:val="0"/>
          <w:sz w:val="24"/>
          <w:szCs w:val="24"/>
        </w:rPr>
        <w:t>原申购费率为固定</w:t>
      </w:r>
      <w:r w:rsidRPr="00B366CD">
        <w:rPr>
          <w:rFonts w:ascii="Times New Roman" w:eastAsia="宋体" w:hAnsi="Times New Roman" w:cs="Times New Roman" w:hint="eastAsia"/>
          <w:color w:val="000000"/>
          <w:kern w:val="0"/>
          <w:sz w:val="24"/>
          <w:szCs w:val="24"/>
        </w:rPr>
        <w:t>费</w:t>
      </w:r>
      <w:r w:rsidRPr="00B12E69">
        <w:rPr>
          <w:rFonts w:ascii="Times New Roman" w:eastAsia="宋体" w:hAnsi="Times New Roman" w:cs="Times New Roman" w:hint="eastAsia"/>
          <w:color w:val="000000"/>
          <w:kern w:val="0"/>
          <w:sz w:val="24"/>
          <w:szCs w:val="24"/>
        </w:rPr>
        <w:t>率的，则按原费率执行。</w:t>
      </w:r>
    </w:p>
    <w:p w:rsidR="00B12E69" w:rsidRPr="00B12E69" w:rsidRDefault="00B12E69" w:rsidP="00B366CD">
      <w:pPr>
        <w:spacing w:line="360" w:lineRule="auto"/>
        <w:ind w:firstLineChars="200" w:firstLine="480"/>
        <w:rPr>
          <w:rFonts w:ascii="Times New Roman" w:eastAsia="宋体" w:hAnsi="Times New Roman" w:cs="Times New Roman"/>
          <w:color w:val="000000"/>
          <w:kern w:val="0"/>
          <w:sz w:val="24"/>
          <w:szCs w:val="24"/>
        </w:rPr>
      </w:pPr>
      <w:r w:rsidRPr="00B12E69">
        <w:rPr>
          <w:rFonts w:ascii="Times New Roman" w:eastAsia="宋体" w:hAnsi="Times New Roman" w:cs="Times New Roman" w:hint="eastAsia"/>
          <w:color w:val="000000"/>
          <w:kern w:val="0"/>
          <w:sz w:val="24"/>
          <w:szCs w:val="24"/>
        </w:rPr>
        <w:t>费率优惠期间，个人投资者通过交通银行柜面、网上银行等非手机银行渠道签约上述</w:t>
      </w:r>
      <w:r w:rsidR="00B366CD" w:rsidRPr="00B366CD">
        <w:rPr>
          <w:rFonts w:ascii="Times New Roman" w:eastAsia="宋体" w:hAnsi="Times New Roman" w:cs="Times New Roman" w:hint="eastAsia"/>
          <w:color w:val="000000"/>
          <w:kern w:val="0"/>
          <w:sz w:val="24"/>
          <w:szCs w:val="24"/>
        </w:rPr>
        <w:t>开通费率优惠的基金</w:t>
      </w:r>
      <w:r w:rsidRPr="00B12E69">
        <w:rPr>
          <w:rFonts w:ascii="Times New Roman" w:eastAsia="宋体" w:hAnsi="Times New Roman" w:cs="Times New Roman" w:hint="eastAsia"/>
          <w:color w:val="000000"/>
          <w:kern w:val="0"/>
          <w:sz w:val="24"/>
          <w:szCs w:val="24"/>
        </w:rPr>
        <w:t>定投协议，并于费率优惠活动期间成功扣款的定投交易，</w:t>
      </w:r>
      <w:r w:rsidRPr="00B12E69">
        <w:rPr>
          <w:rFonts w:ascii="Times New Roman" w:eastAsia="宋体" w:hAnsi="Times New Roman" w:cs="Times New Roman"/>
          <w:color w:val="000000"/>
          <w:kern w:val="0"/>
          <w:sz w:val="24"/>
          <w:szCs w:val="24"/>
        </w:rPr>
        <w:t>定投</w:t>
      </w:r>
      <w:r w:rsidRPr="00B12E69">
        <w:rPr>
          <w:rFonts w:ascii="Times New Roman" w:eastAsia="宋体" w:hAnsi="Times New Roman" w:cs="Times New Roman" w:hint="eastAsia"/>
          <w:color w:val="000000"/>
          <w:kern w:val="0"/>
          <w:sz w:val="24"/>
          <w:szCs w:val="24"/>
        </w:rPr>
        <w:t>申购费率享受</w:t>
      </w:r>
      <w:r w:rsidRPr="00B12E69">
        <w:rPr>
          <w:rFonts w:ascii="Times New Roman" w:eastAsia="宋体" w:hAnsi="Times New Roman" w:cs="Times New Roman"/>
          <w:color w:val="000000"/>
          <w:kern w:val="0"/>
          <w:sz w:val="24"/>
          <w:szCs w:val="24"/>
        </w:rPr>
        <w:t>8</w:t>
      </w:r>
      <w:r w:rsidRPr="00B12E69">
        <w:rPr>
          <w:rFonts w:ascii="Times New Roman" w:eastAsia="宋体" w:hAnsi="Times New Roman" w:cs="Times New Roman"/>
          <w:color w:val="000000"/>
          <w:kern w:val="0"/>
          <w:sz w:val="24"/>
          <w:szCs w:val="24"/>
        </w:rPr>
        <w:t>折优惠</w:t>
      </w:r>
      <w:r w:rsidRPr="00B12E69">
        <w:rPr>
          <w:rFonts w:ascii="Times New Roman" w:eastAsia="宋体" w:hAnsi="Times New Roman" w:cs="Times New Roman" w:hint="eastAsia"/>
          <w:color w:val="000000"/>
          <w:kern w:val="0"/>
          <w:sz w:val="24"/>
          <w:szCs w:val="24"/>
        </w:rPr>
        <w:t>。原申购费率为固定费率的，则按原费率执行。</w:t>
      </w:r>
    </w:p>
    <w:p w:rsidR="00B12E69" w:rsidRPr="00B366CD" w:rsidRDefault="00B12E69" w:rsidP="00B366CD">
      <w:pPr>
        <w:spacing w:line="360" w:lineRule="auto"/>
        <w:ind w:firstLineChars="200" w:firstLine="480"/>
        <w:rPr>
          <w:rFonts w:ascii="Times New Roman" w:eastAsia="宋体" w:hAnsi="Times New Roman" w:cs="Times New Roman"/>
          <w:color w:val="000000"/>
          <w:kern w:val="0"/>
          <w:sz w:val="24"/>
          <w:szCs w:val="24"/>
        </w:rPr>
      </w:pPr>
      <w:r w:rsidRPr="00B366CD">
        <w:rPr>
          <w:rFonts w:ascii="Times New Roman" w:eastAsia="宋体" w:hAnsi="Times New Roman" w:cs="Times New Roman" w:hint="eastAsia"/>
          <w:color w:val="000000"/>
          <w:kern w:val="0"/>
          <w:sz w:val="24"/>
          <w:szCs w:val="24"/>
        </w:rPr>
        <w:t>上述基金原费率请详见基金合同、招募说明书</w:t>
      </w:r>
      <w:r w:rsidRPr="00B366CD">
        <w:rPr>
          <w:rFonts w:ascii="Times New Roman" w:eastAsia="宋体" w:hAnsi="Times New Roman" w:cs="Times New Roman"/>
          <w:color w:val="000000"/>
          <w:kern w:val="0"/>
          <w:sz w:val="24"/>
          <w:szCs w:val="24"/>
        </w:rPr>
        <w:t>(</w:t>
      </w:r>
      <w:r w:rsidRPr="00B366CD">
        <w:rPr>
          <w:rFonts w:ascii="Times New Roman" w:eastAsia="宋体" w:hAnsi="Times New Roman" w:cs="Times New Roman" w:hint="eastAsia"/>
          <w:color w:val="000000"/>
          <w:kern w:val="0"/>
          <w:sz w:val="24"/>
          <w:szCs w:val="24"/>
        </w:rPr>
        <w:t>更新</w:t>
      </w:r>
      <w:r w:rsidRPr="00B366CD">
        <w:rPr>
          <w:rFonts w:ascii="Times New Roman" w:eastAsia="宋体" w:hAnsi="Times New Roman" w:cs="Times New Roman"/>
          <w:color w:val="000000"/>
          <w:kern w:val="0"/>
          <w:sz w:val="24"/>
          <w:szCs w:val="24"/>
        </w:rPr>
        <w:t>)</w:t>
      </w:r>
      <w:r w:rsidRPr="00B366CD">
        <w:rPr>
          <w:rFonts w:ascii="Times New Roman" w:eastAsia="宋体" w:hAnsi="Times New Roman" w:cs="Times New Roman" w:hint="eastAsia"/>
          <w:color w:val="000000"/>
          <w:kern w:val="0"/>
          <w:sz w:val="24"/>
          <w:szCs w:val="24"/>
        </w:rPr>
        <w:t>等法律文件，以及本公司发布的最新业务公告。</w:t>
      </w:r>
    </w:p>
    <w:p w:rsidR="0068678E" w:rsidRPr="0068678E" w:rsidRDefault="0068678E" w:rsidP="0068678E">
      <w:pPr>
        <w:pStyle w:val="a5"/>
        <w:autoSpaceDE w:val="0"/>
        <w:autoSpaceDN w:val="0"/>
        <w:adjustRightInd w:val="0"/>
        <w:spacing w:line="360" w:lineRule="auto"/>
        <w:ind w:left="480" w:firstLineChars="0" w:firstLine="0"/>
        <w:jc w:val="left"/>
        <w:rPr>
          <w:rFonts w:ascii="Times New Roman" w:eastAsia="宋体" w:hAnsi="Times New Roman" w:cs="Times New Roman"/>
          <w:color w:val="000000"/>
          <w:kern w:val="0"/>
          <w:sz w:val="24"/>
          <w:szCs w:val="24"/>
        </w:rPr>
      </w:pPr>
      <w:r w:rsidRPr="0068678E">
        <w:rPr>
          <w:rFonts w:ascii="Times New Roman" w:eastAsia="宋体" w:hAnsi="Times New Roman" w:cs="Times New Roman"/>
          <w:color w:val="000000"/>
          <w:kern w:val="0"/>
          <w:sz w:val="24"/>
          <w:szCs w:val="24"/>
        </w:rPr>
        <w:t>2</w:t>
      </w:r>
      <w:r w:rsidRPr="0068678E">
        <w:rPr>
          <w:rFonts w:ascii="Times New Roman" w:eastAsia="宋体" w:hAnsi="Times New Roman" w:cs="Times New Roman"/>
          <w:color w:val="000000"/>
          <w:kern w:val="0"/>
          <w:sz w:val="24"/>
          <w:szCs w:val="24"/>
        </w:rPr>
        <w:t>、费率优惠期限</w:t>
      </w:r>
    </w:p>
    <w:p w:rsidR="0068678E" w:rsidRPr="0016711A" w:rsidRDefault="0068678E" w:rsidP="0016711A">
      <w:pPr>
        <w:pStyle w:val="a5"/>
        <w:autoSpaceDE w:val="0"/>
        <w:autoSpaceDN w:val="0"/>
        <w:adjustRightInd w:val="0"/>
        <w:spacing w:line="360" w:lineRule="auto"/>
        <w:ind w:left="480" w:firstLineChars="0" w:firstLine="0"/>
        <w:jc w:val="left"/>
        <w:rPr>
          <w:rFonts w:ascii="Times New Roman" w:eastAsia="宋体" w:hAnsi="Times New Roman" w:cs="Times New Roman"/>
          <w:color w:val="000000"/>
          <w:kern w:val="0"/>
          <w:sz w:val="24"/>
          <w:szCs w:val="24"/>
        </w:rPr>
      </w:pPr>
      <w:r w:rsidRPr="0016711A">
        <w:rPr>
          <w:rFonts w:ascii="Times New Roman" w:eastAsia="宋体" w:hAnsi="Times New Roman" w:cs="Times New Roman" w:hint="eastAsia"/>
          <w:color w:val="000000"/>
          <w:kern w:val="0"/>
          <w:sz w:val="24"/>
          <w:szCs w:val="24"/>
        </w:rPr>
        <w:t>202</w:t>
      </w:r>
      <w:r w:rsidR="00B366CD" w:rsidRPr="0016711A">
        <w:rPr>
          <w:rFonts w:ascii="Times New Roman" w:eastAsia="宋体" w:hAnsi="Times New Roman" w:cs="Times New Roman"/>
          <w:color w:val="000000"/>
          <w:kern w:val="0"/>
          <w:sz w:val="24"/>
          <w:szCs w:val="24"/>
        </w:rPr>
        <w:t>1</w:t>
      </w:r>
      <w:r w:rsidRPr="0016711A">
        <w:rPr>
          <w:rFonts w:ascii="Times New Roman" w:eastAsia="宋体" w:hAnsi="Times New Roman" w:cs="Times New Roman" w:hint="eastAsia"/>
          <w:color w:val="000000"/>
          <w:kern w:val="0"/>
          <w:sz w:val="24"/>
          <w:szCs w:val="24"/>
        </w:rPr>
        <w:t>年</w:t>
      </w:r>
      <w:r w:rsidRPr="0016711A">
        <w:rPr>
          <w:rFonts w:ascii="Times New Roman" w:eastAsia="宋体" w:hAnsi="Times New Roman" w:cs="Times New Roman"/>
          <w:color w:val="000000"/>
          <w:kern w:val="0"/>
          <w:sz w:val="24"/>
          <w:szCs w:val="24"/>
        </w:rPr>
        <w:t>1</w:t>
      </w:r>
      <w:r w:rsidRPr="0016711A">
        <w:rPr>
          <w:rFonts w:ascii="Times New Roman" w:eastAsia="宋体" w:hAnsi="Times New Roman" w:cs="Times New Roman" w:hint="eastAsia"/>
          <w:color w:val="000000"/>
          <w:kern w:val="0"/>
          <w:sz w:val="24"/>
          <w:szCs w:val="24"/>
        </w:rPr>
        <w:t>月</w:t>
      </w:r>
      <w:r w:rsidR="00B366CD" w:rsidRPr="0016711A">
        <w:rPr>
          <w:rFonts w:ascii="Times New Roman" w:eastAsia="宋体" w:hAnsi="Times New Roman" w:cs="Times New Roman"/>
          <w:color w:val="000000"/>
          <w:kern w:val="0"/>
          <w:sz w:val="24"/>
          <w:szCs w:val="24"/>
        </w:rPr>
        <w:t>14</w:t>
      </w:r>
      <w:r w:rsidRPr="0016711A">
        <w:rPr>
          <w:rFonts w:ascii="Times New Roman" w:eastAsia="宋体" w:hAnsi="Times New Roman" w:cs="Times New Roman" w:hint="eastAsia"/>
          <w:color w:val="000000"/>
          <w:kern w:val="0"/>
          <w:sz w:val="24"/>
          <w:szCs w:val="24"/>
        </w:rPr>
        <w:t>日至</w:t>
      </w:r>
      <w:r w:rsidRPr="0016711A">
        <w:rPr>
          <w:rFonts w:ascii="Times New Roman" w:eastAsia="宋体" w:hAnsi="Times New Roman" w:cs="Times New Roman" w:hint="eastAsia"/>
          <w:color w:val="000000"/>
          <w:kern w:val="0"/>
          <w:sz w:val="24"/>
          <w:szCs w:val="24"/>
        </w:rPr>
        <w:t>202</w:t>
      </w:r>
      <w:r w:rsidR="00B366CD" w:rsidRPr="0016711A">
        <w:rPr>
          <w:rFonts w:ascii="Times New Roman" w:eastAsia="宋体" w:hAnsi="Times New Roman" w:cs="Times New Roman"/>
          <w:color w:val="000000"/>
          <w:kern w:val="0"/>
          <w:sz w:val="24"/>
          <w:szCs w:val="24"/>
        </w:rPr>
        <w:t>1</w:t>
      </w:r>
      <w:r w:rsidRPr="0016711A">
        <w:rPr>
          <w:rFonts w:ascii="Times New Roman" w:eastAsia="宋体" w:hAnsi="Times New Roman" w:cs="Times New Roman" w:hint="eastAsia"/>
          <w:color w:val="000000"/>
          <w:kern w:val="0"/>
          <w:sz w:val="24"/>
          <w:szCs w:val="24"/>
        </w:rPr>
        <w:t>年</w:t>
      </w:r>
      <w:r w:rsidR="00B366CD" w:rsidRPr="0016711A">
        <w:rPr>
          <w:rFonts w:ascii="Times New Roman" w:eastAsia="宋体" w:hAnsi="Times New Roman" w:cs="Times New Roman"/>
          <w:color w:val="000000"/>
          <w:kern w:val="0"/>
          <w:sz w:val="24"/>
          <w:szCs w:val="24"/>
        </w:rPr>
        <w:t>6</w:t>
      </w:r>
      <w:r w:rsidRPr="0016711A">
        <w:rPr>
          <w:rFonts w:ascii="Times New Roman" w:eastAsia="宋体" w:hAnsi="Times New Roman" w:cs="Times New Roman" w:hint="eastAsia"/>
          <w:color w:val="000000"/>
          <w:kern w:val="0"/>
          <w:sz w:val="24"/>
          <w:szCs w:val="24"/>
        </w:rPr>
        <w:t>月</w:t>
      </w:r>
      <w:r w:rsidR="00B366CD" w:rsidRPr="0016711A">
        <w:rPr>
          <w:rFonts w:ascii="Times New Roman" w:eastAsia="宋体" w:hAnsi="Times New Roman" w:cs="Times New Roman"/>
          <w:color w:val="000000"/>
          <w:kern w:val="0"/>
          <w:sz w:val="24"/>
          <w:szCs w:val="24"/>
        </w:rPr>
        <w:t>30</w:t>
      </w:r>
      <w:r w:rsidRPr="0016711A">
        <w:rPr>
          <w:rFonts w:ascii="Times New Roman" w:eastAsia="宋体" w:hAnsi="Times New Roman" w:cs="Times New Roman" w:hint="eastAsia"/>
          <w:color w:val="000000"/>
          <w:kern w:val="0"/>
          <w:sz w:val="24"/>
          <w:szCs w:val="24"/>
        </w:rPr>
        <w:t>日。</w:t>
      </w:r>
    </w:p>
    <w:p w:rsidR="007D600F" w:rsidRPr="00DE4AD9" w:rsidRDefault="007D600F" w:rsidP="00220A33">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重要提示</w:t>
      </w:r>
      <w:r w:rsidRPr="00DE4AD9">
        <w:rPr>
          <w:rFonts w:ascii="Times New Roman" w:eastAsia="宋体" w:hAnsi="Times New Roman" w:cs="Times New Roman"/>
          <w:b/>
          <w:color w:val="000000"/>
          <w:kern w:val="0"/>
          <w:sz w:val="24"/>
          <w:szCs w:val="24"/>
        </w:rPr>
        <w:t xml:space="preserve"> </w:t>
      </w:r>
    </w:p>
    <w:p w:rsidR="003B0EF2" w:rsidRPr="00B366CD" w:rsidRDefault="00B366CD" w:rsidP="00B366CD">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0068678E" w:rsidRPr="00B366CD">
        <w:rPr>
          <w:rFonts w:ascii="Times New Roman" w:eastAsia="宋体" w:hAnsi="Times New Roman" w:cs="Times New Roman"/>
          <w:color w:val="000000"/>
          <w:kern w:val="0"/>
          <w:sz w:val="24"/>
          <w:szCs w:val="24"/>
        </w:rPr>
        <w:t>上述申购赎回业务仅适用于处于正常申购赎回期及处于特定开放日和开放时间的基金。基金封闭期等特殊期间的有关规定详见对应基金的基金合同和招募说明书等相关法律文件及本公司发布的最新业务公告。</w:t>
      </w:r>
      <w:bookmarkStart w:id="0" w:name="_GoBack"/>
      <w:bookmarkEnd w:id="0"/>
    </w:p>
    <w:p w:rsidR="00B366CD" w:rsidRPr="00B366CD" w:rsidRDefault="00B366CD" w:rsidP="00B366CD">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Pr="00B366CD">
        <w:rPr>
          <w:rFonts w:ascii="Times New Roman" w:eastAsia="宋体" w:hAnsi="Times New Roman" w:cs="Times New Roman" w:hint="eastAsia"/>
          <w:color w:val="000000"/>
          <w:kern w:val="0"/>
          <w:sz w:val="24"/>
          <w:szCs w:val="24"/>
        </w:rPr>
        <w:t>费率优惠活动期间，客户在交通银行手机银行进行基金组合、基金投顾</w:t>
      </w:r>
      <w:r w:rsidRPr="00B366CD">
        <w:rPr>
          <w:rFonts w:ascii="Times New Roman" w:eastAsia="宋体" w:hAnsi="Times New Roman" w:cs="Times New Roman" w:hint="eastAsia"/>
          <w:color w:val="000000"/>
          <w:kern w:val="0"/>
          <w:sz w:val="24"/>
          <w:szCs w:val="24"/>
        </w:rPr>
        <w:lastRenderedPageBreak/>
        <w:t>成份基金产品（如有），其申购及定投享受</w:t>
      </w:r>
      <w:r w:rsidRPr="00B366CD">
        <w:rPr>
          <w:rFonts w:ascii="Times New Roman" w:eastAsia="宋体" w:hAnsi="Times New Roman" w:cs="Times New Roman" w:hint="eastAsia"/>
          <w:color w:val="000000"/>
          <w:kern w:val="0"/>
          <w:sz w:val="24"/>
          <w:szCs w:val="24"/>
        </w:rPr>
        <w:t>1</w:t>
      </w:r>
      <w:r w:rsidRPr="00B366CD">
        <w:rPr>
          <w:rFonts w:ascii="Times New Roman" w:eastAsia="宋体" w:hAnsi="Times New Roman" w:cs="Times New Roman" w:hint="eastAsia"/>
          <w:color w:val="000000"/>
          <w:kern w:val="0"/>
          <w:sz w:val="24"/>
          <w:szCs w:val="24"/>
        </w:rPr>
        <w:t>折费率优惠（无前端申购费率或不支持费率优惠的开放式基金除外）。</w:t>
      </w:r>
    </w:p>
    <w:p w:rsidR="00B366CD" w:rsidRPr="00B366CD" w:rsidRDefault="00B366CD" w:rsidP="00B366CD">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Pr="00B366CD">
        <w:rPr>
          <w:rFonts w:ascii="Times New Roman" w:eastAsia="宋体" w:hAnsi="Times New Roman" w:cs="Times New Roman" w:hint="eastAsia"/>
          <w:color w:val="000000"/>
          <w:kern w:val="0"/>
          <w:sz w:val="24"/>
          <w:szCs w:val="24"/>
        </w:rPr>
        <w:t>“基金</w:t>
      </w:r>
      <w:r w:rsidRPr="00B366CD">
        <w:rPr>
          <w:rFonts w:ascii="Times New Roman" w:eastAsia="宋体" w:hAnsi="Times New Roman" w:cs="Times New Roman" w:hint="eastAsia"/>
          <w:color w:val="000000"/>
          <w:kern w:val="0"/>
          <w:sz w:val="24"/>
          <w:szCs w:val="24"/>
        </w:rPr>
        <w:t>1</w:t>
      </w:r>
      <w:r w:rsidRPr="00B366CD">
        <w:rPr>
          <w:rFonts w:ascii="Times New Roman" w:eastAsia="宋体" w:hAnsi="Times New Roman" w:cs="Times New Roman" w:hint="eastAsia"/>
          <w:color w:val="000000"/>
          <w:kern w:val="0"/>
          <w:sz w:val="24"/>
          <w:szCs w:val="24"/>
        </w:rPr>
        <w:t>折权益”指：费率优惠活动期间，通过交通银行手机银行渠道领取的可享受基金申购、定投费率</w:t>
      </w:r>
      <w:r w:rsidRPr="00B366CD">
        <w:rPr>
          <w:rFonts w:ascii="Times New Roman" w:eastAsia="宋体" w:hAnsi="Times New Roman" w:cs="Times New Roman" w:hint="eastAsia"/>
          <w:color w:val="000000"/>
          <w:kern w:val="0"/>
          <w:sz w:val="24"/>
          <w:szCs w:val="24"/>
        </w:rPr>
        <w:t>1</w:t>
      </w:r>
      <w:r w:rsidRPr="00B366CD">
        <w:rPr>
          <w:rFonts w:ascii="Times New Roman" w:eastAsia="宋体" w:hAnsi="Times New Roman" w:cs="Times New Roman" w:hint="eastAsia"/>
          <w:color w:val="000000"/>
          <w:kern w:val="0"/>
          <w:sz w:val="24"/>
          <w:szCs w:val="24"/>
        </w:rPr>
        <w:t>折优惠的权益。</w:t>
      </w:r>
      <w:r w:rsidRPr="00B366CD">
        <w:rPr>
          <w:rFonts w:ascii="Times New Roman" w:eastAsia="宋体" w:hAnsi="Times New Roman" w:cs="Times New Roman"/>
          <w:color w:val="000000"/>
          <w:kern w:val="0"/>
          <w:sz w:val="24"/>
          <w:szCs w:val="24"/>
        </w:rPr>
        <w:t>未领取基金</w:t>
      </w:r>
      <w:r w:rsidRPr="00B366CD">
        <w:rPr>
          <w:rFonts w:ascii="Times New Roman" w:eastAsia="宋体" w:hAnsi="Times New Roman" w:cs="Times New Roman"/>
          <w:color w:val="000000"/>
          <w:kern w:val="0"/>
          <w:sz w:val="24"/>
          <w:szCs w:val="24"/>
        </w:rPr>
        <w:t>1</w:t>
      </w:r>
      <w:r w:rsidRPr="00B366CD">
        <w:rPr>
          <w:rFonts w:ascii="Times New Roman" w:eastAsia="宋体" w:hAnsi="Times New Roman" w:cs="Times New Roman"/>
          <w:color w:val="000000"/>
          <w:kern w:val="0"/>
          <w:sz w:val="24"/>
          <w:szCs w:val="24"/>
        </w:rPr>
        <w:t>折权益的客户在</w:t>
      </w:r>
      <w:r w:rsidRPr="00B366CD">
        <w:rPr>
          <w:rFonts w:ascii="Times New Roman" w:eastAsia="宋体" w:hAnsi="Times New Roman" w:cs="Times New Roman" w:hint="eastAsia"/>
          <w:color w:val="000000"/>
          <w:kern w:val="0"/>
          <w:sz w:val="24"/>
          <w:szCs w:val="24"/>
        </w:rPr>
        <w:t>交通银行</w:t>
      </w:r>
      <w:r w:rsidRPr="00B366CD">
        <w:rPr>
          <w:rFonts w:ascii="Times New Roman" w:eastAsia="宋体" w:hAnsi="Times New Roman" w:cs="Times New Roman"/>
          <w:color w:val="000000"/>
          <w:kern w:val="0"/>
          <w:sz w:val="24"/>
          <w:szCs w:val="24"/>
        </w:rPr>
        <w:t>手机银行不享受本次费率优惠。</w:t>
      </w:r>
    </w:p>
    <w:p w:rsidR="00B366CD" w:rsidRPr="00B366CD" w:rsidRDefault="00B366CD" w:rsidP="00B366CD">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r>
        <w:rPr>
          <w:rFonts w:ascii="Times New Roman" w:eastAsia="宋体" w:hAnsi="Times New Roman" w:cs="Times New Roman" w:hint="eastAsia"/>
          <w:color w:val="000000"/>
          <w:kern w:val="0"/>
          <w:sz w:val="24"/>
          <w:szCs w:val="24"/>
        </w:rPr>
        <w:t>、</w:t>
      </w:r>
      <w:r w:rsidRPr="00B366CD">
        <w:rPr>
          <w:rFonts w:ascii="Times New Roman" w:eastAsia="宋体" w:hAnsi="Times New Roman" w:cs="Times New Roman" w:hint="eastAsia"/>
          <w:color w:val="000000"/>
          <w:kern w:val="0"/>
          <w:sz w:val="24"/>
          <w:szCs w:val="24"/>
        </w:rPr>
        <w:t>上述</w:t>
      </w:r>
      <w:r w:rsidRPr="00B366CD">
        <w:rPr>
          <w:rFonts w:ascii="Times New Roman" w:eastAsia="宋体" w:hAnsi="Times New Roman" w:cs="Times New Roman"/>
          <w:color w:val="000000"/>
          <w:kern w:val="0"/>
          <w:sz w:val="24"/>
          <w:szCs w:val="24"/>
        </w:rPr>
        <w:t>费率优惠解释权归</w:t>
      </w:r>
      <w:r w:rsidRPr="00B366CD">
        <w:rPr>
          <w:rFonts w:ascii="Times New Roman" w:eastAsia="宋体" w:hAnsi="Times New Roman" w:cs="Times New Roman" w:hint="eastAsia"/>
          <w:color w:val="000000"/>
          <w:kern w:val="0"/>
          <w:sz w:val="24"/>
          <w:szCs w:val="24"/>
        </w:rPr>
        <w:t>交通银行</w:t>
      </w:r>
      <w:r w:rsidRPr="00B366CD">
        <w:rPr>
          <w:rFonts w:ascii="Times New Roman" w:eastAsia="宋体" w:hAnsi="Times New Roman" w:cs="Times New Roman"/>
          <w:color w:val="000000"/>
          <w:kern w:val="0"/>
          <w:sz w:val="24"/>
          <w:szCs w:val="24"/>
        </w:rPr>
        <w:t>所有，</w:t>
      </w:r>
      <w:r w:rsidRPr="00B366CD">
        <w:rPr>
          <w:rFonts w:ascii="Times New Roman" w:eastAsia="宋体" w:hAnsi="Times New Roman" w:cs="Times New Roman" w:hint="eastAsia"/>
          <w:color w:val="000000"/>
          <w:kern w:val="0"/>
          <w:sz w:val="24"/>
          <w:szCs w:val="24"/>
        </w:rPr>
        <w:t>相关活动的具体费率折扣及活动起止时间如有变化，敬请投资者留意交通银行的有关公告。</w:t>
      </w:r>
    </w:p>
    <w:p w:rsidR="00B366CD" w:rsidRPr="00B366CD" w:rsidRDefault="00B366CD" w:rsidP="00B366CD">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w:t>
      </w:r>
      <w:r w:rsidRPr="00B366CD">
        <w:rPr>
          <w:rFonts w:ascii="Times New Roman" w:eastAsia="宋体" w:hAnsi="Times New Roman" w:cs="Times New Roman"/>
          <w:color w:val="000000"/>
          <w:kern w:val="0"/>
          <w:sz w:val="24"/>
          <w:szCs w:val="24"/>
        </w:rPr>
        <w:t>费率优惠</w:t>
      </w:r>
      <w:r w:rsidRPr="00B366CD">
        <w:rPr>
          <w:rFonts w:ascii="Times New Roman" w:eastAsia="宋体" w:hAnsi="Times New Roman" w:cs="Times New Roman" w:hint="eastAsia"/>
          <w:color w:val="000000"/>
          <w:kern w:val="0"/>
          <w:sz w:val="24"/>
          <w:szCs w:val="24"/>
        </w:rPr>
        <w:t>活动</w:t>
      </w:r>
      <w:r w:rsidRPr="00B366CD">
        <w:rPr>
          <w:rFonts w:ascii="Times New Roman" w:eastAsia="宋体" w:hAnsi="Times New Roman" w:cs="Times New Roman"/>
          <w:color w:val="000000"/>
          <w:kern w:val="0"/>
          <w:sz w:val="24"/>
          <w:szCs w:val="24"/>
        </w:rPr>
        <w:t>期间，业务</w:t>
      </w:r>
      <w:r w:rsidRPr="00B366CD">
        <w:rPr>
          <w:rFonts w:ascii="Times New Roman" w:eastAsia="宋体" w:hAnsi="Times New Roman" w:cs="Times New Roman" w:hint="eastAsia"/>
          <w:color w:val="000000"/>
          <w:kern w:val="0"/>
          <w:sz w:val="24"/>
          <w:szCs w:val="24"/>
        </w:rPr>
        <w:t>规则及</w:t>
      </w:r>
      <w:r w:rsidRPr="00B366CD">
        <w:rPr>
          <w:rFonts w:ascii="Times New Roman" w:eastAsia="宋体" w:hAnsi="Times New Roman" w:cs="Times New Roman"/>
          <w:color w:val="000000"/>
          <w:kern w:val="0"/>
          <w:sz w:val="24"/>
          <w:szCs w:val="24"/>
        </w:rPr>
        <w:t>办理流程以</w:t>
      </w:r>
      <w:r w:rsidRPr="00B366CD">
        <w:rPr>
          <w:rFonts w:ascii="Times New Roman" w:eastAsia="宋体" w:hAnsi="Times New Roman" w:cs="Times New Roman" w:hint="eastAsia"/>
          <w:color w:val="000000"/>
          <w:kern w:val="0"/>
          <w:sz w:val="24"/>
          <w:szCs w:val="24"/>
        </w:rPr>
        <w:t>交通银行</w:t>
      </w:r>
      <w:r w:rsidRPr="00B366CD">
        <w:rPr>
          <w:rFonts w:ascii="Times New Roman" w:eastAsia="宋体" w:hAnsi="Times New Roman" w:cs="Times New Roman"/>
          <w:color w:val="000000"/>
          <w:kern w:val="0"/>
          <w:sz w:val="24"/>
          <w:szCs w:val="24"/>
        </w:rPr>
        <w:t>的</w:t>
      </w:r>
      <w:r w:rsidRPr="00B366CD">
        <w:rPr>
          <w:rFonts w:ascii="Times New Roman" w:eastAsia="宋体" w:hAnsi="Times New Roman" w:cs="Times New Roman" w:hint="eastAsia"/>
          <w:color w:val="000000"/>
          <w:kern w:val="0"/>
          <w:sz w:val="24"/>
          <w:szCs w:val="24"/>
        </w:rPr>
        <w:t>安排</w:t>
      </w:r>
      <w:r w:rsidRPr="00B366CD">
        <w:rPr>
          <w:rFonts w:ascii="Times New Roman" w:eastAsia="宋体" w:hAnsi="Times New Roman" w:cs="Times New Roman"/>
          <w:color w:val="000000"/>
          <w:kern w:val="0"/>
          <w:sz w:val="24"/>
          <w:szCs w:val="24"/>
        </w:rPr>
        <w:t>和规定为准</w:t>
      </w:r>
      <w:r w:rsidRPr="00B366CD">
        <w:rPr>
          <w:rFonts w:ascii="Times New Roman" w:eastAsia="宋体" w:hAnsi="Times New Roman" w:cs="Times New Roman" w:hint="eastAsia"/>
          <w:color w:val="000000"/>
          <w:kern w:val="0"/>
          <w:sz w:val="24"/>
          <w:szCs w:val="24"/>
        </w:rPr>
        <w:t>，</w:t>
      </w:r>
      <w:r w:rsidRPr="00B366CD">
        <w:rPr>
          <w:rFonts w:ascii="Times New Roman" w:eastAsia="宋体" w:hAnsi="Times New Roman" w:cs="Times New Roman"/>
          <w:color w:val="000000"/>
          <w:kern w:val="0"/>
          <w:sz w:val="24"/>
          <w:szCs w:val="24"/>
        </w:rPr>
        <w:t>交通银行</w:t>
      </w:r>
      <w:r w:rsidRPr="00B366CD">
        <w:rPr>
          <w:rFonts w:ascii="Times New Roman" w:eastAsia="宋体" w:hAnsi="Times New Roman" w:cs="Times New Roman" w:hint="eastAsia"/>
          <w:color w:val="000000"/>
          <w:kern w:val="0"/>
          <w:sz w:val="24"/>
          <w:szCs w:val="24"/>
        </w:rPr>
        <w:t>有权</w:t>
      </w:r>
      <w:r w:rsidRPr="00B366CD">
        <w:rPr>
          <w:rFonts w:ascii="Times New Roman" w:eastAsia="宋体" w:hAnsi="Times New Roman" w:cs="Times New Roman"/>
          <w:color w:val="000000"/>
          <w:kern w:val="0"/>
          <w:sz w:val="24"/>
          <w:szCs w:val="24"/>
        </w:rPr>
        <w:t>不时调整该活动相关规则。投资者欲了解基金产品的详细情况，请仔细阅读基金的基金合同、招募说明书等法律文件。</w:t>
      </w:r>
    </w:p>
    <w:p w:rsidR="00853ADA" w:rsidRDefault="0016711A" w:rsidP="00DE4AD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Times New Roman" w:eastAsia="宋体" w:hAnsi="Times New Roman" w:cs="Times New Roman" w:hint="eastAsia"/>
          <w:color w:val="000000"/>
          <w:kern w:val="0"/>
          <w:sz w:val="24"/>
          <w:szCs w:val="24"/>
        </w:rPr>
        <w:t>、</w:t>
      </w:r>
      <w:r w:rsidR="00853ADA" w:rsidRPr="00DE4AD9">
        <w:rPr>
          <w:rFonts w:ascii="Times New Roman" w:eastAsia="宋体" w:hAnsi="Times New Roman" w:cs="Times New Roman"/>
          <w:color w:val="000000"/>
          <w:kern w:val="0"/>
          <w:sz w:val="24"/>
          <w:szCs w:val="24"/>
        </w:rPr>
        <w:t>投资者可与</w:t>
      </w:r>
      <w:r w:rsidR="0068678E">
        <w:rPr>
          <w:rFonts w:ascii="Times New Roman" w:eastAsia="宋体" w:hAnsi="Times New Roman" w:cs="Times New Roman" w:hint="eastAsia"/>
          <w:color w:val="000000"/>
          <w:kern w:val="0"/>
          <w:sz w:val="24"/>
          <w:szCs w:val="24"/>
        </w:rPr>
        <w:t>交通</w:t>
      </w:r>
      <w:r w:rsidR="00AD58E3" w:rsidRPr="004B435B">
        <w:rPr>
          <w:rFonts w:ascii="Times New Roman" w:eastAsia="宋体" w:hAnsi="Times New Roman" w:cs="Times New Roman" w:hint="eastAsia"/>
          <w:color w:val="000000"/>
          <w:kern w:val="0"/>
          <w:sz w:val="24"/>
          <w:szCs w:val="24"/>
        </w:rPr>
        <w:t>银行</w:t>
      </w:r>
      <w:r w:rsidR="00853ADA" w:rsidRPr="00DE4AD9">
        <w:rPr>
          <w:rFonts w:ascii="Times New Roman" w:eastAsia="宋体" w:hAnsi="Times New Roman" w:cs="Times New Roman"/>
          <w:color w:val="000000"/>
          <w:kern w:val="0"/>
          <w:sz w:val="24"/>
          <w:szCs w:val="24"/>
        </w:rPr>
        <w:t>约定定投业务的每期固定投资金额，该金额即为申购金额，上述基金每期最低申购额不低于人民币</w:t>
      </w:r>
      <w:r w:rsidR="00EF3C3C">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含</w:t>
      </w:r>
      <w:r w:rsidR="00EF3C3C">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。基金定投业务不受日常申购业务的最低金额限制。具体定投业务规则请参考</w:t>
      </w:r>
      <w:r w:rsidR="0068678E">
        <w:rPr>
          <w:rFonts w:ascii="Times New Roman" w:eastAsia="宋体" w:hAnsi="Times New Roman" w:cs="Times New Roman" w:hint="eastAsia"/>
          <w:color w:val="000000"/>
          <w:kern w:val="0"/>
          <w:sz w:val="24"/>
          <w:szCs w:val="24"/>
        </w:rPr>
        <w:t>交通</w:t>
      </w:r>
      <w:r w:rsidR="00AD58E3" w:rsidRPr="004B435B">
        <w:rPr>
          <w:rFonts w:ascii="Times New Roman" w:eastAsia="宋体" w:hAnsi="Times New Roman" w:cs="Times New Roman" w:hint="eastAsia"/>
          <w:color w:val="000000"/>
          <w:kern w:val="0"/>
          <w:sz w:val="24"/>
          <w:szCs w:val="24"/>
        </w:rPr>
        <w:t>银行</w:t>
      </w:r>
      <w:r w:rsidR="00853ADA" w:rsidRPr="00DE4AD9">
        <w:rPr>
          <w:rFonts w:ascii="Times New Roman" w:eastAsia="宋体" w:hAnsi="Times New Roman" w:cs="Times New Roman"/>
          <w:color w:val="000000"/>
          <w:kern w:val="0"/>
          <w:sz w:val="24"/>
          <w:szCs w:val="24"/>
        </w:rPr>
        <w:t>的相关规定。</w:t>
      </w:r>
    </w:p>
    <w:p w:rsidR="00942BB4" w:rsidRDefault="0016711A" w:rsidP="00942BB4">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sidR="00EE497F" w:rsidRPr="00DE4AD9">
        <w:rPr>
          <w:rFonts w:ascii="Times New Roman" w:eastAsia="宋体" w:hAnsi="Times New Roman" w:cs="Times New Roman"/>
          <w:color w:val="000000"/>
          <w:kern w:val="0"/>
          <w:sz w:val="24"/>
          <w:szCs w:val="24"/>
        </w:rPr>
        <w:t>、基金转换是指投资者可将其通过销售机构购买并持有的本公司旗下某只开放式基金的全部或部分基金份额转换为本公司管理的其他开放式基金的基金份额。基金转换费用与转换业务规则</w:t>
      </w:r>
      <w:r w:rsidR="00942BB4">
        <w:rPr>
          <w:rFonts w:ascii="Times New Roman" w:eastAsia="宋体" w:hAnsi="Times New Roman" w:cs="Times New Roman" w:hint="eastAsia"/>
          <w:color w:val="000000"/>
          <w:kern w:val="0"/>
          <w:sz w:val="24"/>
          <w:szCs w:val="24"/>
        </w:rPr>
        <w:t>请</w:t>
      </w:r>
      <w:r w:rsidR="00942BB4" w:rsidRPr="00DE4AD9">
        <w:rPr>
          <w:rFonts w:ascii="Times New Roman" w:eastAsia="宋体" w:hAnsi="Times New Roman" w:cs="Times New Roman"/>
          <w:color w:val="000000"/>
          <w:kern w:val="0"/>
          <w:sz w:val="24"/>
          <w:szCs w:val="24"/>
        </w:rPr>
        <w:t>参考</w:t>
      </w:r>
      <w:r w:rsidR="0068678E">
        <w:rPr>
          <w:rFonts w:ascii="Times New Roman" w:eastAsia="宋体" w:hAnsi="Times New Roman" w:cs="Times New Roman" w:hint="eastAsia"/>
          <w:color w:val="000000"/>
          <w:kern w:val="0"/>
          <w:sz w:val="24"/>
          <w:szCs w:val="24"/>
        </w:rPr>
        <w:t>交通</w:t>
      </w:r>
      <w:r w:rsidR="00AD58E3" w:rsidRPr="004B435B">
        <w:rPr>
          <w:rFonts w:ascii="Times New Roman" w:eastAsia="宋体" w:hAnsi="Times New Roman" w:cs="Times New Roman" w:hint="eastAsia"/>
          <w:color w:val="000000"/>
          <w:kern w:val="0"/>
          <w:sz w:val="24"/>
          <w:szCs w:val="24"/>
        </w:rPr>
        <w:t>银行</w:t>
      </w:r>
      <w:r w:rsidR="00942BB4" w:rsidRPr="00DE4AD9">
        <w:rPr>
          <w:rFonts w:ascii="Times New Roman" w:eastAsia="宋体" w:hAnsi="Times New Roman" w:cs="Times New Roman"/>
          <w:color w:val="000000"/>
          <w:kern w:val="0"/>
          <w:sz w:val="24"/>
          <w:szCs w:val="24"/>
        </w:rPr>
        <w:t>的相关规定。</w:t>
      </w:r>
    </w:p>
    <w:p w:rsidR="007D600F" w:rsidRPr="00DE4AD9" w:rsidRDefault="006A0A15" w:rsidP="00942BB4">
      <w:pPr>
        <w:autoSpaceDE w:val="0"/>
        <w:autoSpaceDN w:val="0"/>
        <w:adjustRightInd w:val="0"/>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942BB4" w:rsidRPr="00942BB4">
        <w:rPr>
          <w:rFonts w:ascii="Times New Roman" w:eastAsia="宋体" w:hAnsi="Times New Roman" w:cs="Times New Roman" w:hint="eastAsia"/>
          <w:b/>
          <w:color w:val="000000"/>
          <w:kern w:val="0"/>
          <w:sz w:val="24"/>
          <w:szCs w:val="24"/>
        </w:rPr>
        <w:t>、</w:t>
      </w:r>
      <w:r w:rsidR="00942BB4">
        <w:rPr>
          <w:rFonts w:ascii="Times New Roman" w:eastAsia="宋体" w:hAnsi="Times New Roman" w:cs="Times New Roman"/>
          <w:b/>
          <w:color w:val="000000"/>
          <w:kern w:val="0"/>
          <w:sz w:val="24"/>
          <w:szCs w:val="24"/>
        </w:rPr>
        <w:t>投资者可通过以下途径咨询有关详情</w:t>
      </w:r>
    </w:p>
    <w:p w:rsidR="0068678E" w:rsidRPr="0068678E" w:rsidRDefault="007D600F" w:rsidP="0068678E">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68678E" w:rsidRPr="0068678E">
        <w:rPr>
          <w:rFonts w:ascii="Times New Roman" w:eastAsia="宋体" w:hAnsi="Times New Roman" w:cs="Times New Roman" w:hint="eastAsia"/>
          <w:color w:val="000000"/>
          <w:kern w:val="0"/>
          <w:sz w:val="24"/>
          <w:szCs w:val="24"/>
        </w:rPr>
        <w:t>交通银行股份有限公司</w:t>
      </w:r>
    </w:p>
    <w:p w:rsidR="0068678E" w:rsidRPr="0068678E" w:rsidRDefault="0068678E" w:rsidP="0068678E">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68678E">
        <w:rPr>
          <w:rFonts w:ascii="Times New Roman" w:eastAsia="宋体" w:hAnsi="Times New Roman" w:cs="Times New Roman"/>
          <w:color w:val="000000"/>
          <w:kern w:val="0"/>
          <w:sz w:val="24"/>
          <w:szCs w:val="24"/>
        </w:rPr>
        <w:t>客服电话：</w:t>
      </w:r>
      <w:r w:rsidRPr="0068678E">
        <w:rPr>
          <w:rFonts w:ascii="Times New Roman" w:eastAsia="宋体" w:hAnsi="Times New Roman" w:cs="Times New Roman"/>
          <w:color w:val="000000"/>
          <w:kern w:val="0"/>
          <w:sz w:val="24"/>
          <w:szCs w:val="24"/>
        </w:rPr>
        <w:t>95559</w:t>
      </w:r>
    </w:p>
    <w:p w:rsidR="0068678E" w:rsidRPr="0068678E" w:rsidRDefault="0068678E" w:rsidP="0068678E">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68678E">
        <w:rPr>
          <w:rFonts w:ascii="Times New Roman" w:eastAsia="宋体" w:hAnsi="Times New Roman" w:cs="Times New Roman"/>
          <w:color w:val="000000"/>
          <w:kern w:val="0"/>
          <w:sz w:val="24"/>
          <w:szCs w:val="24"/>
        </w:rPr>
        <w:t>网址：</w:t>
      </w:r>
      <w:r w:rsidRPr="0068678E">
        <w:rPr>
          <w:rFonts w:ascii="Times New Roman" w:eastAsia="宋体" w:hAnsi="Times New Roman" w:cs="Times New Roman" w:hint="eastAsia"/>
          <w:color w:val="000000"/>
          <w:kern w:val="0"/>
          <w:sz w:val="24"/>
          <w:szCs w:val="24"/>
        </w:rPr>
        <w:t>www.</w:t>
      </w:r>
      <w:r w:rsidRPr="0068678E">
        <w:rPr>
          <w:rFonts w:ascii="Times New Roman" w:eastAsia="宋体" w:hAnsi="Times New Roman" w:cs="Times New Roman"/>
          <w:color w:val="000000"/>
          <w:kern w:val="0"/>
          <w:sz w:val="24"/>
          <w:szCs w:val="24"/>
        </w:rPr>
        <w:t>bankcomm.com</w:t>
      </w:r>
    </w:p>
    <w:p w:rsidR="007D600F" w:rsidRPr="00DE4AD9" w:rsidRDefault="00EF3C3C" w:rsidP="0068678E">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7D600F" w:rsidRPr="00DE4AD9">
        <w:rPr>
          <w:rFonts w:ascii="Times New Roman" w:eastAsia="宋体" w:hAnsi="Times New Roman" w:cs="Times New Roman"/>
          <w:color w:val="000000"/>
          <w:kern w:val="0"/>
          <w:sz w:val="24"/>
          <w:szCs w:val="24"/>
        </w:rPr>
        <w:t>、泓德基金管理有限公司</w:t>
      </w:r>
    </w:p>
    <w:p w:rsidR="007D600F" w:rsidRPr="00DE4AD9" w:rsidRDefault="007D600F" w:rsidP="007D600F">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9B3579" w:rsidRPr="00DE4AD9" w:rsidRDefault="007D600F" w:rsidP="00DE4AD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009B3579" w:rsidRPr="00DE4AD9">
        <w:rPr>
          <w:rFonts w:ascii="Times New Roman" w:eastAsia="宋体" w:hAnsi="Times New Roman" w:cs="Times New Roman"/>
          <w:color w:val="000000"/>
          <w:kern w:val="0"/>
          <w:sz w:val="24"/>
          <w:szCs w:val="24"/>
        </w:rPr>
        <w:t>www.hongdefund.com</w:t>
      </w:r>
    </w:p>
    <w:p w:rsidR="007D600F" w:rsidRPr="00C02ED8" w:rsidRDefault="006A0A15" w:rsidP="00220A33">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五</w:t>
      </w:r>
      <w:r w:rsidR="00C02ED8">
        <w:rPr>
          <w:rFonts w:ascii="Times New Roman" w:eastAsia="宋体" w:hAnsi="Times New Roman" w:cs="Times New Roman"/>
          <w:b/>
          <w:color w:val="000000"/>
          <w:kern w:val="0"/>
          <w:sz w:val="24"/>
          <w:szCs w:val="24"/>
        </w:rPr>
        <w:t>、</w:t>
      </w:r>
      <w:r w:rsidR="00942BB4" w:rsidRPr="00C02ED8">
        <w:rPr>
          <w:rFonts w:ascii="Times New Roman" w:eastAsia="宋体" w:hAnsi="Times New Roman" w:cs="Times New Roman"/>
          <w:b/>
          <w:color w:val="000000"/>
          <w:kern w:val="0"/>
          <w:sz w:val="24"/>
          <w:szCs w:val="24"/>
        </w:rPr>
        <w:t>风险提示</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基金的过往业绩并不</w:t>
      </w:r>
      <w:r w:rsidRPr="00F13BFC">
        <w:rPr>
          <w:rFonts w:ascii="Times New Roman" w:eastAsia="宋体" w:hAnsi="Times New Roman" w:cs="Times New Roman" w:hint="eastAsia"/>
          <w:color w:val="000000"/>
          <w:kern w:val="0"/>
          <w:sz w:val="24"/>
          <w:szCs w:val="24"/>
        </w:rPr>
        <w:t>预示</w:t>
      </w:r>
      <w:r w:rsidRPr="00F13BFC">
        <w:rPr>
          <w:rFonts w:ascii="Times New Roman" w:eastAsia="宋体" w:hAnsi="Times New Roman" w:cs="Times New Roman"/>
          <w:color w:val="000000"/>
          <w:kern w:val="0"/>
          <w:sz w:val="24"/>
          <w:szCs w:val="24"/>
        </w:rPr>
        <w:t>其未来表现</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基金管理人管理的其他基金的业绩也不构成对本基金业绩表现的保证。</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基金管理人承诺以诚实信用、勤勉尽责的原则管理和运用基金</w:t>
      </w:r>
      <w:r w:rsidRPr="00F13BFC">
        <w:rPr>
          <w:rFonts w:ascii="Times New Roman" w:eastAsia="宋体" w:hAnsi="Times New Roman" w:cs="Times New Roman" w:hint="eastAsia"/>
          <w:color w:val="000000"/>
          <w:kern w:val="0"/>
          <w:sz w:val="24"/>
          <w:szCs w:val="24"/>
        </w:rPr>
        <w:t>财</w:t>
      </w:r>
      <w:r w:rsidRPr="00F13BFC">
        <w:rPr>
          <w:rFonts w:ascii="Times New Roman" w:eastAsia="宋体" w:hAnsi="Times New Roman" w:cs="Times New Roman"/>
          <w:color w:val="000000"/>
          <w:kern w:val="0"/>
          <w:sz w:val="24"/>
          <w:szCs w:val="24"/>
        </w:rPr>
        <w:t>产，但投资有风险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基金管理人不保证基金一定盈利，也不保证最低收益。</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敬请投资</w:t>
      </w:r>
      <w:r w:rsidRPr="00F13BFC">
        <w:rPr>
          <w:rFonts w:ascii="Times New Roman" w:eastAsia="宋体" w:hAnsi="Times New Roman" w:cs="Times New Roman" w:hint="eastAsia"/>
          <w:color w:val="000000"/>
          <w:kern w:val="0"/>
          <w:sz w:val="24"/>
          <w:szCs w:val="24"/>
        </w:rPr>
        <w:t>者</w:t>
      </w:r>
      <w:r w:rsidRPr="00F13BFC">
        <w:rPr>
          <w:rFonts w:ascii="Times New Roman" w:eastAsia="宋体" w:hAnsi="Times New Roman" w:cs="Times New Roman"/>
          <w:color w:val="000000"/>
          <w:kern w:val="0"/>
          <w:sz w:val="24"/>
          <w:szCs w:val="24"/>
        </w:rPr>
        <w:t>认真阅读基金的相关法律文件并关注基金特有风险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如实填写或更新个人信息并核对自身的风险承受能力</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选择适合自身风险承受能力的投资品种进行投资。</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基金定期定额投资并不等于零存整取等储蓄方式，不能规避基金投资所固有的风险，也不能保证投资人获得收益。</w:t>
      </w:r>
      <w:r w:rsidRPr="00F13BFC">
        <w:rPr>
          <w:rFonts w:ascii="Times New Roman" w:eastAsia="宋体" w:hAnsi="Times New Roman" w:cs="Times New Roman" w:hint="eastAsia"/>
          <w:color w:val="000000"/>
          <w:kern w:val="0"/>
          <w:sz w:val="24"/>
          <w:szCs w:val="24"/>
        </w:rPr>
        <w:t>本基金管理人提醒投资者基金投资的“买者自负”原则，在做出投资决策后，基金运营状况与基金净值变化引致的投资风险，由投资者自行承担。</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hint="eastAsia"/>
          <w:color w:val="000000"/>
          <w:kern w:val="0"/>
          <w:sz w:val="24"/>
          <w:szCs w:val="24"/>
        </w:rPr>
        <w:t>投资有风险，选择须谨慎。</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特此公告</w:t>
      </w:r>
      <w:r w:rsidRPr="00F13BFC">
        <w:rPr>
          <w:rFonts w:ascii="Times New Roman" w:eastAsia="宋体" w:hAnsi="Times New Roman" w:cs="Times New Roman" w:hint="eastAsia"/>
          <w:color w:val="000000"/>
          <w:kern w:val="0"/>
          <w:sz w:val="24"/>
          <w:szCs w:val="24"/>
        </w:rPr>
        <w:t>。</w:t>
      </w:r>
    </w:p>
    <w:p w:rsidR="00324063" w:rsidRPr="00DE4AD9" w:rsidRDefault="00324063"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7D600F" w:rsidRPr="00DE4AD9" w:rsidRDefault="007D600F"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7D600F" w:rsidRPr="008A4745" w:rsidRDefault="00C06FA2" w:rsidP="008A4745">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w:t>
      </w:r>
      <w:r w:rsidR="00E06158" w:rsidRPr="00DE4AD9">
        <w:rPr>
          <w:rFonts w:ascii="Times New Roman" w:eastAsia="宋体" w:hAnsi="Times New Roman" w:cs="Times New Roman"/>
          <w:color w:val="000000"/>
          <w:kern w:val="0"/>
          <w:sz w:val="24"/>
          <w:szCs w:val="24"/>
        </w:rPr>
        <w:t>二</w:t>
      </w:r>
      <w:r w:rsidR="0016711A">
        <w:rPr>
          <w:rFonts w:ascii="Times New Roman" w:eastAsia="宋体" w:hAnsi="Times New Roman" w:cs="Times New Roman" w:hint="eastAsia"/>
          <w:color w:val="000000"/>
          <w:kern w:val="0"/>
          <w:sz w:val="24"/>
          <w:szCs w:val="24"/>
        </w:rPr>
        <w:t>一</w:t>
      </w:r>
      <w:r w:rsidR="00FB42A0">
        <w:rPr>
          <w:rFonts w:ascii="Times New Roman" w:eastAsia="宋体" w:hAnsi="Times New Roman" w:cs="Times New Roman"/>
          <w:color w:val="000000"/>
          <w:kern w:val="0"/>
          <w:sz w:val="24"/>
          <w:szCs w:val="24"/>
        </w:rPr>
        <w:t>年</w:t>
      </w:r>
      <w:r w:rsidR="0016711A">
        <w:rPr>
          <w:rFonts w:ascii="Times New Roman" w:eastAsia="宋体" w:hAnsi="Times New Roman" w:cs="Times New Roman" w:hint="eastAsia"/>
          <w:color w:val="000000"/>
          <w:kern w:val="0"/>
          <w:sz w:val="24"/>
          <w:szCs w:val="24"/>
        </w:rPr>
        <w:t>一</w:t>
      </w:r>
      <w:r w:rsidRPr="00DE4AD9">
        <w:rPr>
          <w:rFonts w:ascii="Times New Roman" w:eastAsia="宋体" w:hAnsi="Times New Roman" w:cs="Times New Roman"/>
          <w:color w:val="000000"/>
          <w:kern w:val="0"/>
          <w:sz w:val="24"/>
          <w:szCs w:val="24"/>
        </w:rPr>
        <w:t>月</w:t>
      </w:r>
      <w:r w:rsidR="0016711A">
        <w:rPr>
          <w:rFonts w:ascii="Times New Roman" w:eastAsia="宋体" w:hAnsi="Times New Roman" w:cs="Times New Roman" w:hint="eastAsia"/>
          <w:color w:val="000000"/>
          <w:kern w:val="0"/>
          <w:sz w:val="24"/>
          <w:szCs w:val="24"/>
        </w:rPr>
        <w:t>十</w:t>
      </w:r>
      <w:r w:rsidR="00B1617B">
        <w:rPr>
          <w:rFonts w:ascii="Times New Roman" w:eastAsia="宋体" w:hAnsi="Times New Roman" w:cs="Times New Roman" w:hint="eastAsia"/>
          <w:color w:val="000000"/>
          <w:kern w:val="0"/>
          <w:sz w:val="24"/>
          <w:szCs w:val="24"/>
        </w:rPr>
        <w:t>三</w:t>
      </w:r>
      <w:r w:rsidRPr="00DE4AD9">
        <w:rPr>
          <w:rFonts w:ascii="Times New Roman" w:eastAsia="宋体" w:hAnsi="Times New Roman" w:cs="Times New Roman"/>
          <w:color w:val="000000"/>
          <w:kern w:val="0"/>
          <w:sz w:val="24"/>
          <w:szCs w:val="24"/>
        </w:rPr>
        <w:t>日</w:t>
      </w:r>
    </w:p>
    <w:sectPr w:rsidR="007D600F" w:rsidRPr="008A4745" w:rsidSect="001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7E" w:rsidRDefault="000B797E" w:rsidP="000B480F">
      <w:r>
        <w:separator/>
      </w:r>
    </w:p>
  </w:endnote>
  <w:endnote w:type="continuationSeparator" w:id="0">
    <w:p w:rsidR="000B797E" w:rsidRDefault="000B797E" w:rsidP="000B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7E" w:rsidRDefault="000B797E" w:rsidP="000B480F">
      <w:r>
        <w:separator/>
      </w:r>
    </w:p>
  </w:footnote>
  <w:footnote w:type="continuationSeparator" w:id="0">
    <w:p w:rsidR="000B797E" w:rsidRDefault="000B797E" w:rsidP="000B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44421B16"/>
    <w:lvl w:ilvl="0" w:tplc="6D9689BA">
      <w:start w:val="1"/>
      <w:numFmt w:val="chineseCountingThousand"/>
      <w:suff w:val="noth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385656"/>
    <w:multiLevelType w:val="hybridMultilevel"/>
    <w:tmpl w:val="D9121B34"/>
    <w:lvl w:ilvl="0" w:tplc="F6FCDB4A">
      <w:start w:val="1"/>
      <w:numFmt w:val="decimal"/>
      <w:lvlText w:val="%1、"/>
      <w:lvlJc w:val="left"/>
      <w:pPr>
        <w:ind w:left="360" w:hanging="360"/>
      </w:pPr>
      <w:rPr>
        <w:rFonts w:hAnsi="Calibri" w:cs="Times New Roman"/>
        <w:color w:val="auto"/>
        <w:sz w:val="21"/>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74D4FC5"/>
    <w:multiLevelType w:val="hybridMultilevel"/>
    <w:tmpl w:val="D02254DA"/>
    <w:lvl w:ilvl="0" w:tplc="2EA28A3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6059E"/>
    <w:rsid w:val="000B480F"/>
    <w:rsid w:val="000B5ED6"/>
    <w:rsid w:val="000B797E"/>
    <w:rsid w:val="000C5B8C"/>
    <w:rsid w:val="000C5DB5"/>
    <w:rsid w:val="000D1974"/>
    <w:rsid w:val="000D7807"/>
    <w:rsid w:val="000F5B10"/>
    <w:rsid w:val="000F621D"/>
    <w:rsid w:val="000F67B3"/>
    <w:rsid w:val="0010344B"/>
    <w:rsid w:val="001161E9"/>
    <w:rsid w:val="00136664"/>
    <w:rsid w:val="0016711A"/>
    <w:rsid w:val="001E05AB"/>
    <w:rsid w:val="001F1BF5"/>
    <w:rsid w:val="001F3842"/>
    <w:rsid w:val="001F688E"/>
    <w:rsid w:val="00220A33"/>
    <w:rsid w:val="00275A60"/>
    <w:rsid w:val="002C7910"/>
    <w:rsid w:val="00300627"/>
    <w:rsid w:val="00300A06"/>
    <w:rsid w:val="00324063"/>
    <w:rsid w:val="00327551"/>
    <w:rsid w:val="0032769D"/>
    <w:rsid w:val="003346AF"/>
    <w:rsid w:val="003360AC"/>
    <w:rsid w:val="003529C1"/>
    <w:rsid w:val="0036226B"/>
    <w:rsid w:val="00382889"/>
    <w:rsid w:val="003A1288"/>
    <w:rsid w:val="003B0EF2"/>
    <w:rsid w:val="003C0416"/>
    <w:rsid w:val="003D28A0"/>
    <w:rsid w:val="003D34A1"/>
    <w:rsid w:val="003E277A"/>
    <w:rsid w:val="003E4C0C"/>
    <w:rsid w:val="003F4B05"/>
    <w:rsid w:val="003F6BE3"/>
    <w:rsid w:val="00400A4A"/>
    <w:rsid w:val="00412305"/>
    <w:rsid w:val="00415CCD"/>
    <w:rsid w:val="00421EDE"/>
    <w:rsid w:val="00436F3D"/>
    <w:rsid w:val="0043705C"/>
    <w:rsid w:val="004754B2"/>
    <w:rsid w:val="00475815"/>
    <w:rsid w:val="00497172"/>
    <w:rsid w:val="004A540F"/>
    <w:rsid w:val="004B6B09"/>
    <w:rsid w:val="004C62E3"/>
    <w:rsid w:val="004D2DB3"/>
    <w:rsid w:val="004E49F1"/>
    <w:rsid w:val="004E6DC3"/>
    <w:rsid w:val="004F0666"/>
    <w:rsid w:val="004F1DD0"/>
    <w:rsid w:val="00517A39"/>
    <w:rsid w:val="00526781"/>
    <w:rsid w:val="00533E20"/>
    <w:rsid w:val="00534922"/>
    <w:rsid w:val="005606BC"/>
    <w:rsid w:val="00570773"/>
    <w:rsid w:val="005722A4"/>
    <w:rsid w:val="00576DDD"/>
    <w:rsid w:val="00583313"/>
    <w:rsid w:val="00592EF1"/>
    <w:rsid w:val="005A0D05"/>
    <w:rsid w:val="005A4DB9"/>
    <w:rsid w:val="005A518B"/>
    <w:rsid w:val="005B76E9"/>
    <w:rsid w:val="005D4432"/>
    <w:rsid w:val="005D59D1"/>
    <w:rsid w:val="0060337C"/>
    <w:rsid w:val="0060652A"/>
    <w:rsid w:val="00614773"/>
    <w:rsid w:val="0061645F"/>
    <w:rsid w:val="006402B8"/>
    <w:rsid w:val="00651A69"/>
    <w:rsid w:val="00662052"/>
    <w:rsid w:val="00664DE5"/>
    <w:rsid w:val="00665D92"/>
    <w:rsid w:val="006666D0"/>
    <w:rsid w:val="00667F38"/>
    <w:rsid w:val="0068678E"/>
    <w:rsid w:val="006A0A15"/>
    <w:rsid w:val="006D5C7B"/>
    <w:rsid w:val="00711B97"/>
    <w:rsid w:val="00715C86"/>
    <w:rsid w:val="007314AA"/>
    <w:rsid w:val="007356DB"/>
    <w:rsid w:val="00751F56"/>
    <w:rsid w:val="007737FF"/>
    <w:rsid w:val="00773BBF"/>
    <w:rsid w:val="0077559E"/>
    <w:rsid w:val="00786221"/>
    <w:rsid w:val="00786DD3"/>
    <w:rsid w:val="00796421"/>
    <w:rsid w:val="007A5C39"/>
    <w:rsid w:val="007A7C31"/>
    <w:rsid w:val="007B3A89"/>
    <w:rsid w:val="007C08A5"/>
    <w:rsid w:val="007C4554"/>
    <w:rsid w:val="007D600F"/>
    <w:rsid w:val="007E4B05"/>
    <w:rsid w:val="007F7B19"/>
    <w:rsid w:val="008340BA"/>
    <w:rsid w:val="0084033D"/>
    <w:rsid w:val="00843CCD"/>
    <w:rsid w:val="00850EB4"/>
    <w:rsid w:val="00853ADA"/>
    <w:rsid w:val="00863BE8"/>
    <w:rsid w:val="008A24CE"/>
    <w:rsid w:val="008A4745"/>
    <w:rsid w:val="008C64E9"/>
    <w:rsid w:val="008F2B14"/>
    <w:rsid w:val="00901F4D"/>
    <w:rsid w:val="0090208F"/>
    <w:rsid w:val="00913A10"/>
    <w:rsid w:val="00942BB4"/>
    <w:rsid w:val="00946709"/>
    <w:rsid w:val="009802A3"/>
    <w:rsid w:val="009823DD"/>
    <w:rsid w:val="0098323E"/>
    <w:rsid w:val="00996FEB"/>
    <w:rsid w:val="009B3579"/>
    <w:rsid w:val="009D4191"/>
    <w:rsid w:val="009E1AFF"/>
    <w:rsid w:val="009E3DCD"/>
    <w:rsid w:val="009E5EAC"/>
    <w:rsid w:val="00A131E6"/>
    <w:rsid w:val="00A25922"/>
    <w:rsid w:val="00A43841"/>
    <w:rsid w:val="00A96FBB"/>
    <w:rsid w:val="00AB3F04"/>
    <w:rsid w:val="00AC2EC1"/>
    <w:rsid w:val="00AD58E3"/>
    <w:rsid w:val="00B072F4"/>
    <w:rsid w:val="00B12E69"/>
    <w:rsid w:val="00B1555D"/>
    <w:rsid w:val="00B1617B"/>
    <w:rsid w:val="00B17358"/>
    <w:rsid w:val="00B2528D"/>
    <w:rsid w:val="00B346A7"/>
    <w:rsid w:val="00B366CD"/>
    <w:rsid w:val="00B43332"/>
    <w:rsid w:val="00B6599D"/>
    <w:rsid w:val="00B65D91"/>
    <w:rsid w:val="00B76981"/>
    <w:rsid w:val="00BA0382"/>
    <w:rsid w:val="00BA65A0"/>
    <w:rsid w:val="00BE250F"/>
    <w:rsid w:val="00BF156D"/>
    <w:rsid w:val="00BF6934"/>
    <w:rsid w:val="00C02ED8"/>
    <w:rsid w:val="00C06FA2"/>
    <w:rsid w:val="00C06FC6"/>
    <w:rsid w:val="00C2774A"/>
    <w:rsid w:val="00C31C46"/>
    <w:rsid w:val="00C40FD1"/>
    <w:rsid w:val="00C61DF3"/>
    <w:rsid w:val="00C65AAD"/>
    <w:rsid w:val="00C670BF"/>
    <w:rsid w:val="00C93D55"/>
    <w:rsid w:val="00CB7550"/>
    <w:rsid w:val="00CC1B28"/>
    <w:rsid w:val="00CD1FE1"/>
    <w:rsid w:val="00CD250F"/>
    <w:rsid w:val="00CD70AE"/>
    <w:rsid w:val="00CE28A9"/>
    <w:rsid w:val="00D038AF"/>
    <w:rsid w:val="00D07C38"/>
    <w:rsid w:val="00D21332"/>
    <w:rsid w:val="00D93995"/>
    <w:rsid w:val="00DA2E8D"/>
    <w:rsid w:val="00DE3834"/>
    <w:rsid w:val="00DE3D41"/>
    <w:rsid w:val="00DE4AD9"/>
    <w:rsid w:val="00E012E6"/>
    <w:rsid w:val="00E06158"/>
    <w:rsid w:val="00E10E63"/>
    <w:rsid w:val="00E142F4"/>
    <w:rsid w:val="00E52BE6"/>
    <w:rsid w:val="00E60E30"/>
    <w:rsid w:val="00E918EA"/>
    <w:rsid w:val="00EA224B"/>
    <w:rsid w:val="00EA2CFF"/>
    <w:rsid w:val="00EB727E"/>
    <w:rsid w:val="00EE172A"/>
    <w:rsid w:val="00EE497F"/>
    <w:rsid w:val="00EF3C3C"/>
    <w:rsid w:val="00F051E1"/>
    <w:rsid w:val="00F13BFC"/>
    <w:rsid w:val="00F267B8"/>
    <w:rsid w:val="00F43F1B"/>
    <w:rsid w:val="00F4716C"/>
    <w:rsid w:val="00F7650D"/>
    <w:rsid w:val="00F90E5D"/>
    <w:rsid w:val="00FA7EC5"/>
    <w:rsid w:val="00FB1A61"/>
    <w:rsid w:val="00FB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80F"/>
    <w:rPr>
      <w:sz w:val="18"/>
      <w:szCs w:val="18"/>
    </w:rPr>
  </w:style>
  <w:style w:type="paragraph" w:styleId="a4">
    <w:name w:val="footer"/>
    <w:basedOn w:val="a"/>
    <w:link w:val="Char0"/>
    <w:uiPriority w:val="99"/>
    <w:unhideWhenUsed/>
    <w:rsid w:val="000B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0B480F"/>
    <w:rPr>
      <w:sz w:val="18"/>
      <w:szCs w:val="18"/>
    </w:rPr>
  </w:style>
  <w:style w:type="paragraph" w:styleId="a5">
    <w:name w:val="List Paragraph"/>
    <w:basedOn w:val="a"/>
    <w:uiPriority w:val="34"/>
    <w:qFormat/>
    <w:rsid w:val="000B480F"/>
    <w:pPr>
      <w:ind w:firstLineChars="200" w:firstLine="420"/>
    </w:pPr>
  </w:style>
  <w:style w:type="table" w:styleId="a6">
    <w:name w:val="Table Grid"/>
    <w:basedOn w:val="a1"/>
    <w:uiPriority w:val="59"/>
    <w:rsid w:val="000B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D600F"/>
    <w:rPr>
      <w:sz w:val="21"/>
      <w:szCs w:val="21"/>
    </w:rPr>
  </w:style>
  <w:style w:type="paragraph" w:styleId="a8">
    <w:name w:val="annotation text"/>
    <w:basedOn w:val="a"/>
    <w:link w:val="Char1"/>
    <w:uiPriority w:val="99"/>
    <w:semiHidden/>
    <w:unhideWhenUsed/>
    <w:rsid w:val="007D600F"/>
    <w:pPr>
      <w:jc w:val="left"/>
    </w:pPr>
  </w:style>
  <w:style w:type="character" w:customStyle="1" w:styleId="Char1">
    <w:name w:val="批注文字 Char"/>
    <w:basedOn w:val="a0"/>
    <w:link w:val="a8"/>
    <w:uiPriority w:val="99"/>
    <w:semiHidden/>
    <w:rsid w:val="007D600F"/>
  </w:style>
  <w:style w:type="paragraph" w:styleId="a9">
    <w:name w:val="annotation subject"/>
    <w:basedOn w:val="a8"/>
    <w:next w:val="a8"/>
    <w:link w:val="Char2"/>
    <w:uiPriority w:val="99"/>
    <w:semiHidden/>
    <w:unhideWhenUsed/>
    <w:rsid w:val="007D600F"/>
    <w:rPr>
      <w:b/>
      <w:bCs/>
    </w:rPr>
  </w:style>
  <w:style w:type="character" w:customStyle="1" w:styleId="Char2">
    <w:name w:val="批注主题 Char"/>
    <w:basedOn w:val="Char1"/>
    <w:link w:val="a9"/>
    <w:uiPriority w:val="99"/>
    <w:semiHidden/>
    <w:rsid w:val="007D600F"/>
    <w:rPr>
      <w:b/>
      <w:bCs/>
    </w:rPr>
  </w:style>
  <w:style w:type="paragraph" w:styleId="aa">
    <w:name w:val="Balloon Text"/>
    <w:basedOn w:val="a"/>
    <w:link w:val="Char3"/>
    <w:uiPriority w:val="99"/>
    <w:semiHidden/>
    <w:unhideWhenUsed/>
    <w:rsid w:val="007D600F"/>
    <w:rPr>
      <w:sz w:val="18"/>
      <w:szCs w:val="18"/>
    </w:rPr>
  </w:style>
  <w:style w:type="character" w:customStyle="1" w:styleId="Char3">
    <w:name w:val="批注框文本 Char"/>
    <w:basedOn w:val="a0"/>
    <w:link w:val="aa"/>
    <w:uiPriority w:val="99"/>
    <w:semiHidden/>
    <w:rsid w:val="007D600F"/>
    <w:rPr>
      <w:sz w:val="18"/>
      <w:szCs w:val="18"/>
    </w:rPr>
  </w:style>
  <w:style w:type="character" w:styleId="ab">
    <w:name w:val="Hyperlink"/>
    <w:basedOn w:val="a0"/>
    <w:uiPriority w:val="99"/>
    <w:unhideWhenUsed/>
    <w:rsid w:val="009B3579"/>
    <w:rPr>
      <w:color w:val="0000FF" w:themeColor="hyperlink"/>
      <w:u w:val="single"/>
    </w:rPr>
  </w:style>
  <w:style w:type="paragraph" w:customStyle="1" w:styleId="Default">
    <w:name w:val="Default"/>
    <w:rsid w:val="00C670BF"/>
    <w:pPr>
      <w:widowControl w:val="0"/>
      <w:autoSpaceDE w:val="0"/>
      <w:autoSpaceDN w:val="0"/>
      <w:adjustRightInd w:val="0"/>
    </w:pPr>
    <w:rPr>
      <w:rFonts w:ascii="宋体" w:eastAsia="宋体" w:cs="宋体"/>
      <w:color w:val="000000"/>
      <w:kern w:val="0"/>
      <w:sz w:val="24"/>
      <w:szCs w:val="24"/>
    </w:rPr>
  </w:style>
  <w:style w:type="paragraph" w:customStyle="1" w:styleId="neirong">
    <w:name w:val="neirong"/>
    <w:basedOn w:val="a"/>
    <w:rsid w:val="00E06158"/>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c">
    <w:name w:val="Normal (Web)"/>
    <w:basedOn w:val="a"/>
    <w:uiPriority w:val="99"/>
    <w:unhideWhenUsed/>
    <w:rsid w:val="00EF3C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442981">
      <w:bodyDiv w:val="1"/>
      <w:marLeft w:val="0"/>
      <w:marRight w:val="0"/>
      <w:marTop w:val="0"/>
      <w:marBottom w:val="0"/>
      <w:divBdr>
        <w:top w:val="none" w:sz="0" w:space="0" w:color="auto"/>
        <w:left w:val="none" w:sz="0" w:space="0" w:color="auto"/>
        <w:bottom w:val="none" w:sz="0" w:space="0" w:color="auto"/>
        <w:right w:val="none" w:sz="0" w:space="0" w:color="auto"/>
      </w:divBdr>
    </w:div>
    <w:div w:id="90050654">
      <w:bodyDiv w:val="1"/>
      <w:marLeft w:val="0"/>
      <w:marRight w:val="0"/>
      <w:marTop w:val="0"/>
      <w:marBottom w:val="0"/>
      <w:divBdr>
        <w:top w:val="none" w:sz="0" w:space="0" w:color="auto"/>
        <w:left w:val="none" w:sz="0" w:space="0" w:color="auto"/>
        <w:bottom w:val="none" w:sz="0" w:space="0" w:color="auto"/>
        <w:right w:val="none" w:sz="0" w:space="0" w:color="auto"/>
      </w:divBdr>
    </w:div>
    <w:div w:id="127361875">
      <w:bodyDiv w:val="1"/>
      <w:marLeft w:val="0"/>
      <w:marRight w:val="0"/>
      <w:marTop w:val="0"/>
      <w:marBottom w:val="0"/>
      <w:divBdr>
        <w:top w:val="none" w:sz="0" w:space="0" w:color="auto"/>
        <w:left w:val="none" w:sz="0" w:space="0" w:color="auto"/>
        <w:bottom w:val="none" w:sz="0" w:space="0" w:color="auto"/>
        <w:right w:val="none" w:sz="0" w:space="0" w:color="auto"/>
      </w:divBdr>
    </w:div>
    <w:div w:id="139806856">
      <w:bodyDiv w:val="1"/>
      <w:marLeft w:val="0"/>
      <w:marRight w:val="0"/>
      <w:marTop w:val="0"/>
      <w:marBottom w:val="0"/>
      <w:divBdr>
        <w:top w:val="none" w:sz="0" w:space="0" w:color="auto"/>
        <w:left w:val="none" w:sz="0" w:space="0" w:color="auto"/>
        <w:bottom w:val="none" w:sz="0" w:space="0" w:color="auto"/>
        <w:right w:val="none" w:sz="0" w:space="0" w:color="auto"/>
      </w:divBdr>
    </w:div>
    <w:div w:id="192502324">
      <w:bodyDiv w:val="1"/>
      <w:marLeft w:val="0"/>
      <w:marRight w:val="0"/>
      <w:marTop w:val="0"/>
      <w:marBottom w:val="0"/>
      <w:divBdr>
        <w:top w:val="none" w:sz="0" w:space="0" w:color="auto"/>
        <w:left w:val="none" w:sz="0" w:space="0" w:color="auto"/>
        <w:bottom w:val="none" w:sz="0" w:space="0" w:color="auto"/>
        <w:right w:val="none" w:sz="0" w:space="0" w:color="auto"/>
      </w:divBdr>
    </w:div>
    <w:div w:id="201289732">
      <w:bodyDiv w:val="1"/>
      <w:marLeft w:val="0"/>
      <w:marRight w:val="0"/>
      <w:marTop w:val="0"/>
      <w:marBottom w:val="0"/>
      <w:divBdr>
        <w:top w:val="none" w:sz="0" w:space="0" w:color="auto"/>
        <w:left w:val="none" w:sz="0" w:space="0" w:color="auto"/>
        <w:bottom w:val="none" w:sz="0" w:space="0" w:color="auto"/>
        <w:right w:val="none" w:sz="0" w:space="0" w:color="auto"/>
      </w:divBdr>
    </w:div>
    <w:div w:id="269820829">
      <w:bodyDiv w:val="1"/>
      <w:marLeft w:val="0"/>
      <w:marRight w:val="0"/>
      <w:marTop w:val="0"/>
      <w:marBottom w:val="0"/>
      <w:divBdr>
        <w:top w:val="none" w:sz="0" w:space="0" w:color="auto"/>
        <w:left w:val="none" w:sz="0" w:space="0" w:color="auto"/>
        <w:bottom w:val="none" w:sz="0" w:space="0" w:color="auto"/>
        <w:right w:val="none" w:sz="0" w:space="0" w:color="auto"/>
      </w:divBdr>
    </w:div>
    <w:div w:id="586112610">
      <w:bodyDiv w:val="1"/>
      <w:marLeft w:val="0"/>
      <w:marRight w:val="0"/>
      <w:marTop w:val="0"/>
      <w:marBottom w:val="0"/>
      <w:divBdr>
        <w:top w:val="none" w:sz="0" w:space="0" w:color="auto"/>
        <w:left w:val="none" w:sz="0" w:space="0" w:color="auto"/>
        <w:bottom w:val="none" w:sz="0" w:space="0" w:color="auto"/>
        <w:right w:val="none" w:sz="0" w:space="0" w:color="auto"/>
      </w:divBdr>
    </w:div>
    <w:div w:id="722339171">
      <w:bodyDiv w:val="1"/>
      <w:marLeft w:val="0"/>
      <w:marRight w:val="0"/>
      <w:marTop w:val="0"/>
      <w:marBottom w:val="0"/>
      <w:divBdr>
        <w:top w:val="none" w:sz="0" w:space="0" w:color="auto"/>
        <w:left w:val="none" w:sz="0" w:space="0" w:color="auto"/>
        <w:bottom w:val="none" w:sz="0" w:space="0" w:color="auto"/>
        <w:right w:val="none" w:sz="0" w:space="0" w:color="auto"/>
      </w:divBdr>
    </w:div>
    <w:div w:id="903104018">
      <w:bodyDiv w:val="1"/>
      <w:marLeft w:val="0"/>
      <w:marRight w:val="0"/>
      <w:marTop w:val="0"/>
      <w:marBottom w:val="0"/>
      <w:divBdr>
        <w:top w:val="none" w:sz="0" w:space="0" w:color="auto"/>
        <w:left w:val="none" w:sz="0" w:space="0" w:color="auto"/>
        <w:bottom w:val="none" w:sz="0" w:space="0" w:color="auto"/>
        <w:right w:val="none" w:sz="0" w:space="0" w:color="auto"/>
      </w:divBdr>
    </w:div>
    <w:div w:id="1056314147">
      <w:bodyDiv w:val="1"/>
      <w:marLeft w:val="0"/>
      <w:marRight w:val="0"/>
      <w:marTop w:val="0"/>
      <w:marBottom w:val="0"/>
      <w:divBdr>
        <w:top w:val="none" w:sz="0" w:space="0" w:color="auto"/>
        <w:left w:val="none" w:sz="0" w:space="0" w:color="auto"/>
        <w:bottom w:val="none" w:sz="0" w:space="0" w:color="auto"/>
        <w:right w:val="none" w:sz="0" w:space="0" w:color="auto"/>
      </w:divBdr>
    </w:div>
    <w:div w:id="1057969081">
      <w:bodyDiv w:val="1"/>
      <w:marLeft w:val="0"/>
      <w:marRight w:val="0"/>
      <w:marTop w:val="0"/>
      <w:marBottom w:val="0"/>
      <w:divBdr>
        <w:top w:val="none" w:sz="0" w:space="0" w:color="auto"/>
        <w:left w:val="none" w:sz="0" w:space="0" w:color="auto"/>
        <w:bottom w:val="none" w:sz="0" w:space="0" w:color="auto"/>
        <w:right w:val="none" w:sz="0" w:space="0" w:color="auto"/>
      </w:divBdr>
    </w:div>
    <w:div w:id="1466001166">
      <w:bodyDiv w:val="1"/>
      <w:marLeft w:val="0"/>
      <w:marRight w:val="0"/>
      <w:marTop w:val="0"/>
      <w:marBottom w:val="0"/>
      <w:divBdr>
        <w:top w:val="none" w:sz="0" w:space="0" w:color="auto"/>
        <w:left w:val="none" w:sz="0" w:space="0" w:color="auto"/>
        <w:bottom w:val="none" w:sz="0" w:space="0" w:color="auto"/>
        <w:right w:val="none" w:sz="0" w:space="0" w:color="auto"/>
      </w:divBdr>
    </w:div>
    <w:div w:id="1483504392">
      <w:bodyDiv w:val="1"/>
      <w:marLeft w:val="0"/>
      <w:marRight w:val="0"/>
      <w:marTop w:val="0"/>
      <w:marBottom w:val="0"/>
      <w:divBdr>
        <w:top w:val="none" w:sz="0" w:space="0" w:color="auto"/>
        <w:left w:val="none" w:sz="0" w:space="0" w:color="auto"/>
        <w:bottom w:val="none" w:sz="0" w:space="0" w:color="auto"/>
        <w:right w:val="none" w:sz="0" w:space="0" w:color="auto"/>
      </w:divBdr>
    </w:div>
    <w:div w:id="1494299462">
      <w:bodyDiv w:val="1"/>
      <w:marLeft w:val="0"/>
      <w:marRight w:val="0"/>
      <w:marTop w:val="0"/>
      <w:marBottom w:val="0"/>
      <w:divBdr>
        <w:top w:val="none" w:sz="0" w:space="0" w:color="auto"/>
        <w:left w:val="none" w:sz="0" w:space="0" w:color="auto"/>
        <w:bottom w:val="none" w:sz="0" w:space="0" w:color="auto"/>
        <w:right w:val="none" w:sz="0" w:space="0" w:color="auto"/>
      </w:divBdr>
    </w:div>
    <w:div w:id="1521118303">
      <w:bodyDiv w:val="1"/>
      <w:marLeft w:val="0"/>
      <w:marRight w:val="0"/>
      <w:marTop w:val="0"/>
      <w:marBottom w:val="0"/>
      <w:divBdr>
        <w:top w:val="none" w:sz="0" w:space="0" w:color="auto"/>
        <w:left w:val="none" w:sz="0" w:space="0" w:color="auto"/>
        <w:bottom w:val="none" w:sz="0" w:space="0" w:color="auto"/>
        <w:right w:val="none" w:sz="0" w:space="0" w:color="auto"/>
      </w:divBdr>
    </w:div>
    <w:div w:id="1534880104">
      <w:bodyDiv w:val="1"/>
      <w:marLeft w:val="0"/>
      <w:marRight w:val="0"/>
      <w:marTop w:val="0"/>
      <w:marBottom w:val="0"/>
      <w:divBdr>
        <w:top w:val="none" w:sz="0" w:space="0" w:color="auto"/>
        <w:left w:val="none" w:sz="0" w:space="0" w:color="auto"/>
        <w:bottom w:val="none" w:sz="0" w:space="0" w:color="auto"/>
        <w:right w:val="none" w:sz="0" w:space="0" w:color="auto"/>
      </w:divBdr>
    </w:div>
    <w:div w:id="1586261709">
      <w:bodyDiv w:val="1"/>
      <w:marLeft w:val="0"/>
      <w:marRight w:val="0"/>
      <w:marTop w:val="0"/>
      <w:marBottom w:val="0"/>
      <w:divBdr>
        <w:top w:val="none" w:sz="0" w:space="0" w:color="auto"/>
        <w:left w:val="none" w:sz="0" w:space="0" w:color="auto"/>
        <w:bottom w:val="none" w:sz="0" w:space="0" w:color="auto"/>
        <w:right w:val="none" w:sz="0" w:space="0" w:color="auto"/>
      </w:divBdr>
    </w:div>
    <w:div w:id="1618675538">
      <w:bodyDiv w:val="1"/>
      <w:marLeft w:val="0"/>
      <w:marRight w:val="0"/>
      <w:marTop w:val="0"/>
      <w:marBottom w:val="0"/>
      <w:divBdr>
        <w:top w:val="none" w:sz="0" w:space="0" w:color="auto"/>
        <w:left w:val="none" w:sz="0" w:space="0" w:color="auto"/>
        <w:bottom w:val="none" w:sz="0" w:space="0" w:color="auto"/>
        <w:right w:val="none" w:sz="0" w:space="0" w:color="auto"/>
      </w:divBdr>
    </w:div>
    <w:div w:id="1859999917">
      <w:bodyDiv w:val="1"/>
      <w:marLeft w:val="0"/>
      <w:marRight w:val="0"/>
      <w:marTop w:val="0"/>
      <w:marBottom w:val="0"/>
      <w:divBdr>
        <w:top w:val="none" w:sz="0" w:space="0" w:color="auto"/>
        <w:left w:val="none" w:sz="0" w:space="0" w:color="auto"/>
        <w:bottom w:val="none" w:sz="0" w:space="0" w:color="auto"/>
        <w:right w:val="none" w:sz="0" w:space="0" w:color="auto"/>
      </w:divBdr>
    </w:div>
    <w:div w:id="191720792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B340-B4F1-4F78-85B8-B8862936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Application>Microsoft Office Word</Application>
  <DocSecurity>4</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2021-01-12T16:01:00Z</dcterms:created>
  <dcterms:modified xsi:type="dcterms:W3CDTF">2021-01-12T16:01:00Z</dcterms:modified>
</cp:coreProperties>
</file>