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A4" w:rsidRPr="00683065" w:rsidRDefault="00B266A4" w:rsidP="00B266A4">
      <w:pPr>
        <w:pStyle w:val="HTML"/>
        <w:spacing w:before="100" w:beforeAutospacing="1" w:after="100" w:afterAutospacing="1" w:line="420" w:lineRule="atLeast"/>
        <w:jc w:val="center"/>
        <w:rPr>
          <w:b/>
        </w:rPr>
      </w:pPr>
      <w:bookmarkStart w:id="0" w:name="_GoBack"/>
      <w:bookmarkEnd w:id="0"/>
      <w:r w:rsidRPr="00683065">
        <w:rPr>
          <w:rFonts w:hint="eastAsia"/>
          <w:b/>
        </w:rPr>
        <w:t>关于</w:t>
      </w:r>
      <w:r w:rsidR="00EA30F5">
        <w:rPr>
          <w:rFonts w:hint="eastAsia"/>
          <w:b/>
        </w:rPr>
        <w:t>工银瑞信圆丰三年持有期混合型证券投资基金</w:t>
      </w:r>
      <w:r w:rsidRPr="00683065">
        <w:rPr>
          <w:rFonts w:hint="eastAsia"/>
          <w:b/>
        </w:rPr>
        <w:t>募集期认购申请确认比例的公告</w:t>
      </w:r>
    </w:p>
    <w:p w:rsidR="00B266A4" w:rsidRPr="004A6A29" w:rsidRDefault="00EA30F5" w:rsidP="00CA2350">
      <w:pPr>
        <w:pStyle w:val="HTML"/>
        <w:spacing w:before="100" w:beforeAutospacing="1" w:after="100" w:afterAutospacing="1" w:line="360" w:lineRule="auto"/>
        <w:ind w:firstLineChars="200" w:firstLine="420"/>
        <w:jc w:val="both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工银瑞信圆丰三年持有期混合型证券投资基金</w:t>
      </w:r>
      <w:r w:rsidR="00B266A4">
        <w:rPr>
          <w:rFonts w:hint="eastAsia"/>
          <w:color w:val="1E1E1E"/>
          <w:sz w:val="21"/>
          <w:szCs w:val="21"/>
        </w:rPr>
        <w:t>（以下简称“本基金”）已于20</w:t>
      </w:r>
      <w:r w:rsidR="00B266A4">
        <w:rPr>
          <w:color w:val="1E1E1E"/>
          <w:sz w:val="21"/>
          <w:szCs w:val="21"/>
        </w:rPr>
        <w:t>2</w:t>
      </w:r>
      <w:r>
        <w:rPr>
          <w:color w:val="1E1E1E"/>
          <w:sz w:val="21"/>
          <w:szCs w:val="21"/>
        </w:rPr>
        <w:t>1</w:t>
      </w:r>
      <w:r w:rsidR="00B266A4">
        <w:rPr>
          <w:rFonts w:hint="eastAsia"/>
          <w:color w:val="1E1E1E"/>
          <w:sz w:val="21"/>
          <w:szCs w:val="21"/>
        </w:rPr>
        <w:t>年</w:t>
      </w:r>
      <w:r>
        <w:rPr>
          <w:color w:val="1E1E1E"/>
          <w:sz w:val="21"/>
          <w:szCs w:val="21"/>
        </w:rPr>
        <w:t>1</w:t>
      </w:r>
      <w:r w:rsidR="00B266A4">
        <w:rPr>
          <w:rFonts w:hint="eastAsia"/>
          <w:color w:val="1E1E1E"/>
          <w:sz w:val="21"/>
          <w:szCs w:val="21"/>
        </w:rPr>
        <w:t>月</w:t>
      </w:r>
      <w:r>
        <w:rPr>
          <w:color w:val="1E1E1E"/>
          <w:sz w:val="21"/>
          <w:szCs w:val="21"/>
        </w:rPr>
        <w:t>11</w:t>
      </w:r>
      <w:r w:rsidR="00B266A4">
        <w:rPr>
          <w:rFonts w:hint="eastAsia"/>
          <w:color w:val="1E1E1E"/>
          <w:sz w:val="21"/>
          <w:szCs w:val="21"/>
        </w:rPr>
        <w:t>日开始募集，根据《</w:t>
      </w:r>
      <w:r>
        <w:rPr>
          <w:rFonts w:hint="eastAsia"/>
          <w:color w:val="1E1E1E"/>
          <w:sz w:val="21"/>
          <w:szCs w:val="21"/>
        </w:rPr>
        <w:t>工银瑞信圆丰三年持有期混合型证券投资基金</w:t>
      </w:r>
      <w:r w:rsidR="00B266A4">
        <w:rPr>
          <w:rFonts w:hint="eastAsia"/>
          <w:color w:val="1E1E1E"/>
          <w:sz w:val="21"/>
          <w:szCs w:val="21"/>
        </w:rPr>
        <w:t>招募说明书》（以下简称“招募说明书”）和《</w:t>
      </w:r>
      <w:r>
        <w:rPr>
          <w:rFonts w:hint="eastAsia"/>
          <w:color w:val="1E1E1E"/>
          <w:sz w:val="21"/>
          <w:szCs w:val="21"/>
        </w:rPr>
        <w:t>工银瑞信圆丰三年持有期混合型证券投资基金</w:t>
      </w:r>
      <w:r w:rsidR="00B266A4">
        <w:rPr>
          <w:rFonts w:hint="eastAsia"/>
          <w:color w:val="1E1E1E"/>
          <w:sz w:val="21"/>
          <w:szCs w:val="21"/>
        </w:rPr>
        <w:t>基金份额发售公告》（以下简称“基金份额发售公告”）的规定，本基金的募集规模上限为</w:t>
      </w:r>
      <w:r>
        <w:rPr>
          <w:color w:val="1E1E1E"/>
          <w:sz w:val="21"/>
          <w:szCs w:val="21"/>
        </w:rPr>
        <w:t>80</w:t>
      </w:r>
      <w:r w:rsidR="00B266A4">
        <w:rPr>
          <w:rFonts w:hint="eastAsia"/>
          <w:color w:val="1E1E1E"/>
          <w:sz w:val="21"/>
          <w:szCs w:val="21"/>
        </w:rPr>
        <w:t>亿元</w:t>
      </w:r>
      <w:r w:rsidR="00B266A4" w:rsidRPr="004A6A29">
        <w:rPr>
          <w:rFonts w:hint="eastAsia"/>
          <w:sz w:val="21"/>
          <w:szCs w:val="21"/>
        </w:rPr>
        <w:t>人民币（不包括募集期利息）</w:t>
      </w:r>
      <w:r w:rsidR="00B266A4" w:rsidRPr="004A6A29">
        <w:rPr>
          <w:rFonts w:hint="eastAsia"/>
          <w:color w:val="1E1E1E"/>
          <w:sz w:val="21"/>
          <w:szCs w:val="21"/>
        </w:rPr>
        <w:t>，工银瑞信基金管理有限公司（以下简称“本公司”）已于20</w:t>
      </w:r>
      <w:r w:rsidR="00B266A4" w:rsidRPr="004A6A29">
        <w:rPr>
          <w:color w:val="1E1E1E"/>
          <w:sz w:val="21"/>
          <w:szCs w:val="21"/>
        </w:rPr>
        <w:t>2</w:t>
      </w:r>
      <w:r>
        <w:rPr>
          <w:color w:val="1E1E1E"/>
          <w:sz w:val="21"/>
          <w:szCs w:val="21"/>
        </w:rPr>
        <w:t>1</w:t>
      </w:r>
      <w:r w:rsidR="00B266A4" w:rsidRPr="004A6A29">
        <w:rPr>
          <w:rFonts w:hint="eastAsia"/>
          <w:color w:val="1E1E1E"/>
          <w:sz w:val="21"/>
          <w:szCs w:val="21"/>
        </w:rPr>
        <w:t>年</w:t>
      </w:r>
      <w:r>
        <w:rPr>
          <w:color w:val="1E1E1E"/>
          <w:sz w:val="21"/>
          <w:szCs w:val="21"/>
        </w:rPr>
        <w:t>1</w:t>
      </w:r>
      <w:r w:rsidR="00B266A4" w:rsidRPr="004A6A29">
        <w:rPr>
          <w:rFonts w:hint="eastAsia"/>
          <w:color w:val="1E1E1E"/>
          <w:sz w:val="21"/>
          <w:szCs w:val="21"/>
        </w:rPr>
        <w:t>月1</w:t>
      </w:r>
      <w:r>
        <w:rPr>
          <w:color w:val="1E1E1E"/>
          <w:sz w:val="21"/>
          <w:szCs w:val="21"/>
        </w:rPr>
        <w:t>1</w:t>
      </w:r>
      <w:r w:rsidR="00B266A4" w:rsidRPr="004A6A29">
        <w:rPr>
          <w:rFonts w:hint="eastAsia"/>
          <w:color w:val="1E1E1E"/>
          <w:sz w:val="21"/>
          <w:szCs w:val="21"/>
        </w:rPr>
        <w:t>日公告提前结束本次募集。</w:t>
      </w:r>
    </w:p>
    <w:p w:rsidR="00B266A4" w:rsidRDefault="00B266A4" w:rsidP="00B266A4">
      <w:pPr>
        <w:pStyle w:val="HTML"/>
        <w:spacing w:before="100" w:beforeAutospacing="1" w:after="100" w:afterAutospacing="1" w:line="360" w:lineRule="auto"/>
        <w:ind w:firstLineChars="200" w:firstLine="420"/>
        <w:jc w:val="both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根据基金份额发售公告的有关规定，本公司对</w:t>
      </w:r>
      <w:r w:rsidRPr="004A6A29">
        <w:rPr>
          <w:rFonts w:hint="eastAsia"/>
          <w:color w:val="1E1E1E"/>
          <w:sz w:val="21"/>
          <w:szCs w:val="21"/>
        </w:rPr>
        <w:t>20</w:t>
      </w:r>
      <w:r w:rsidRPr="004A6A29">
        <w:rPr>
          <w:color w:val="1E1E1E"/>
          <w:sz w:val="21"/>
          <w:szCs w:val="21"/>
        </w:rPr>
        <w:t>2</w:t>
      </w:r>
      <w:r w:rsidR="00EA30F5">
        <w:rPr>
          <w:color w:val="1E1E1E"/>
          <w:sz w:val="21"/>
          <w:szCs w:val="21"/>
        </w:rPr>
        <w:t>1</w:t>
      </w:r>
      <w:r w:rsidRPr="004A6A29">
        <w:rPr>
          <w:rFonts w:hint="eastAsia"/>
          <w:color w:val="1E1E1E"/>
          <w:sz w:val="21"/>
          <w:szCs w:val="21"/>
        </w:rPr>
        <w:t>年</w:t>
      </w:r>
      <w:r w:rsidR="00EA30F5">
        <w:rPr>
          <w:color w:val="1E1E1E"/>
          <w:sz w:val="21"/>
          <w:szCs w:val="21"/>
        </w:rPr>
        <w:t>1</w:t>
      </w:r>
      <w:r w:rsidRPr="004A6A29">
        <w:rPr>
          <w:rFonts w:hint="eastAsia"/>
          <w:color w:val="1E1E1E"/>
          <w:sz w:val="21"/>
          <w:szCs w:val="21"/>
        </w:rPr>
        <w:t>月</w:t>
      </w:r>
      <w:r>
        <w:rPr>
          <w:color w:val="1E1E1E"/>
          <w:sz w:val="21"/>
          <w:szCs w:val="21"/>
        </w:rPr>
        <w:t>1</w:t>
      </w:r>
      <w:r w:rsidR="00EA30F5">
        <w:rPr>
          <w:color w:val="1E1E1E"/>
          <w:sz w:val="21"/>
          <w:szCs w:val="21"/>
        </w:rPr>
        <w:t>1</w:t>
      </w:r>
      <w:r w:rsidRPr="004A6A29">
        <w:rPr>
          <w:rFonts w:hint="eastAsia"/>
          <w:color w:val="1E1E1E"/>
          <w:sz w:val="21"/>
          <w:szCs w:val="21"/>
        </w:rPr>
        <w:t>日</w:t>
      </w:r>
      <w:r>
        <w:rPr>
          <w:rFonts w:hint="eastAsia"/>
          <w:color w:val="1E1E1E"/>
          <w:sz w:val="21"/>
          <w:szCs w:val="21"/>
        </w:rPr>
        <w:t>的有效认购申请采用“比例确认”的方式给予部分确认，确认比例为</w:t>
      </w:r>
      <w:r w:rsidR="00CA2350" w:rsidRPr="00A060EC">
        <w:rPr>
          <w:color w:val="1E1E1E"/>
          <w:sz w:val="21"/>
          <w:szCs w:val="21"/>
        </w:rPr>
        <w:t>51.474859%</w:t>
      </w:r>
      <w:r>
        <w:rPr>
          <w:rFonts w:hint="eastAsia"/>
          <w:color w:val="1E1E1E"/>
          <w:sz w:val="21"/>
          <w:szCs w:val="21"/>
        </w:rPr>
        <w:t>。</w:t>
      </w:r>
    </w:p>
    <w:p w:rsidR="00E639BE" w:rsidRPr="00CA2350" w:rsidRDefault="00E639BE" w:rsidP="00CA2350">
      <w:pPr>
        <w:spacing w:line="276" w:lineRule="auto"/>
        <w:ind w:firstLineChars="200" w:firstLine="420"/>
        <w:rPr>
          <w:rFonts w:ascii="宋体" w:hAnsi="宋体" w:cs="宋体"/>
          <w:color w:val="1E1E1E"/>
          <w:kern w:val="0"/>
          <w:szCs w:val="21"/>
        </w:rPr>
      </w:pPr>
      <w:r w:rsidRPr="00CA2350">
        <w:rPr>
          <w:rFonts w:ascii="宋体" w:hAnsi="宋体" w:cs="宋体"/>
          <w:color w:val="1E1E1E"/>
          <w:kern w:val="0"/>
          <w:szCs w:val="21"/>
        </w:rPr>
        <w:t xml:space="preserve">T </w:t>
      </w:r>
      <w:r w:rsidRPr="00CA2350">
        <w:rPr>
          <w:rFonts w:ascii="宋体" w:hAnsi="宋体" w:cs="宋体" w:hint="eastAsia"/>
          <w:color w:val="1E1E1E"/>
          <w:kern w:val="0"/>
          <w:szCs w:val="21"/>
        </w:rPr>
        <w:t>日部分确认的计算方法如下：</w:t>
      </w:r>
    </w:p>
    <w:p w:rsidR="00E639BE" w:rsidRDefault="00E639BE" w:rsidP="00CA2350">
      <w:pPr>
        <w:spacing w:line="276" w:lineRule="auto"/>
        <w:ind w:firstLineChars="200" w:firstLine="420"/>
        <w:rPr>
          <w:rFonts w:ascii="宋体" w:hAnsi="宋体" w:cs="宋体"/>
          <w:color w:val="1E1E1E"/>
          <w:kern w:val="0"/>
          <w:szCs w:val="21"/>
        </w:rPr>
      </w:pPr>
      <w:r w:rsidRPr="00CA2350">
        <w:rPr>
          <w:rFonts w:ascii="宋体" w:hAnsi="宋体" w:cs="宋体"/>
          <w:color w:val="1E1E1E"/>
          <w:kern w:val="0"/>
          <w:szCs w:val="21"/>
        </w:rPr>
        <w:t xml:space="preserve">T </w:t>
      </w:r>
      <w:r w:rsidRPr="00CA2350">
        <w:rPr>
          <w:rFonts w:ascii="宋体" w:hAnsi="宋体" w:cs="宋体" w:hint="eastAsia"/>
          <w:color w:val="1E1E1E"/>
          <w:kern w:val="0"/>
          <w:szCs w:val="21"/>
        </w:rPr>
        <w:t>日部分确认的比例＝</w:t>
      </w:r>
      <w:r w:rsidRPr="00CA2350">
        <w:rPr>
          <w:rFonts w:ascii="宋体" w:hAnsi="宋体" w:cs="宋体"/>
          <w:color w:val="1E1E1E"/>
          <w:kern w:val="0"/>
          <w:szCs w:val="21"/>
        </w:rPr>
        <w:t>80</w:t>
      </w:r>
      <w:r w:rsidRPr="00CA2350">
        <w:rPr>
          <w:rFonts w:ascii="宋体" w:hAnsi="宋体" w:cs="宋体" w:hint="eastAsia"/>
          <w:color w:val="1E1E1E"/>
          <w:kern w:val="0"/>
          <w:szCs w:val="21"/>
        </w:rPr>
        <w:t>亿元</w:t>
      </w:r>
      <w:r w:rsidRPr="00CA2350">
        <w:rPr>
          <w:rFonts w:ascii="宋体" w:hAnsi="宋体" w:cs="宋体"/>
          <w:color w:val="1E1E1E"/>
          <w:kern w:val="0"/>
          <w:szCs w:val="21"/>
        </w:rPr>
        <w:t>/T</w:t>
      </w:r>
      <w:r w:rsidRPr="00CA2350">
        <w:rPr>
          <w:rFonts w:ascii="宋体" w:hAnsi="宋体" w:cs="宋体" w:hint="eastAsia"/>
          <w:color w:val="1E1E1E"/>
          <w:kern w:val="0"/>
          <w:szCs w:val="21"/>
        </w:rPr>
        <w:t>日有效认购申请总金额</w:t>
      </w:r>
    </w:p>
    <w:p w:rsidR="00CA2350" w:rsidRDefault="00EA30F5" w:rsidP="00CA2350">
      <w:pPr>
        <w:spacing w:line="276" w:lineRule="auto"/>
        <w:ind w:firstLineChars="200" w:firstLine="420"/>
        <w:rPr>
          <w:rFonts w:ascii="宋体" w:hAnsi="宋体" w:cs="宋体"/>
          <w:color w:val="1E1E1E"/>
          <w:kern w:val="0"/>
          <w:szCs w:val="21"/>
        </w:rPr>
      </w:pPr>
      <w:r w:rsidRPr="00EA30F5">
        <w:rPr>
          <w:rFonts w:ascii="宋体" w:hAnsi="宋体" w:cs="宋体"/>
          <w:color w:val="1E1E1E"/>
          <w:kern w:val="0"/>
          <w:szCs w:val="21"/>
        </w:rPr>
        <w:t>投资者认购申请确认金额=T日提交的有效认购申请金额×T日部分确认的比例</w:t>
      </w:r>
    </w:p>
    <w:p w:rsidR="00B266A4" w:rsidRPr="004B6E23" w:rsidRDefault="00EA30F5" w:rsidP="00E639BE">
      <w:pPr>
        <w:spacing w:line="360" w:lineRule="auto"/>
        <w:ind w:firstLineChars="200" w:firstLine="420"/>
        <w:rPr>
          <w:rFonts w:ascii="宋体" w:hAnsi="宋体" w:cs="宋体"/>
          <w:color w:val="1E1E1E"/>
          <w:kern w:val="0"/>
          <w:szCs w:val="21"/>
        </w:rPr>
      </w:pPr>
      <w:r w:rsidRPr="00EA30F5">
        <w:rPr>
          <w:rFonts w:ascii="宋体" w:hAnsi="宋体" w:cs="宋体"/>
          <w:color w:val="1E1E1E"/>
          <w:kern w:val="0"/>
          <w:szCs w:val="21"/>
        </w:rPr>
        <w:t>当发生部分确认时，投资者认购费率按照认购申请确认金额所对应的费率计算，而且认购申请的确认金额不受募集单笔最低认购限额的限制。认购份额计算结果保留到小数点后2位，小数点后2位以后的部分四舍五入，由此产生的误差产生的收益或损失由基金财产承担。投资者的最终认购申请及认购份额的确认情况，以登记机构计算并确认的结果为准。</w:t>
      </w:r>
    </w:p>
    <w:p w:rsidR="00B266A4" w:rsidRDefault="00B266A4" w:rsidP="00B266A4">
      <w:pPr>
        <w:pStyle w:val="HTML"/>
        <w:spacing w:before="100" w:beforeAutospacing="1" w:after="100" w:afterAutospacing="1" w:line="360" w:lineRule="auto"/>
        <w:ind w:firstLineChars="200" w:firstLine="420"/>
        <w:jc w:val="both"/>
        <w:rPr>
          <w:sz w:val="21"/>
          <w:szCs w:val="21"/>
        </w:rPr>
      </w:pPr>
      <w:r w:rsidRPr="004B6E23">
        <w:rPr>
          <w:rFonts w:hint="eastAsia"/>
          <w:color w:val="1E1E1E"/>
          <w:sz w:val="21"/>
          <w:szCs w:val="21"/>
        </w:rPr>
        <w:t>投资者可通过本基金管理人网</w:t>
      </w:r>
      <w:r w:rsidRPr="00C14BE6">
        <w:rPr>
          <w:rFonts w:hint="eastAsia"/>
          <w:sz w:val="21"/>
          <w:szCs w:val="21"/>
        </w:rPr>
        <w:t>站（www.icbccs.com.cn）或客户服务电话400-811-9999咨询相关情况。</w:t>
      </w:r>
    </w:p>
    <w:p w:rsidR="00B266A4" w:rsidRPr="00C14BE6" w:rsidRDefault="00B266A4" w:rsidP="00B266A4">
      <w:pPr>
        <w:pStyle w:val="HTML"/>
        <w:spacing w:before="100" w:beforeAutospacing="1" w:after="100" w:afterAutospacing="1" w:line="360" w:lineRule="auto"/>
        <w:ind w:firstLineChars="200" w:firstLine="420"/>
        <w:jc w:val="both"/>
        <w:rPr>
          <w:sz w:val="21"/>
          <w:szCs w:val="21"/>
        </w:rPr>
      </w:pPr>
      <w:r w:rsidRPr="00C14BE6">
        <w:rPr>
          <w:rFonts w:hint="eastAsia"/>
          <w:sz w:val="21"/>
          <w:szCs w:val="21"/>
        </w:rPr>
        <w:t>风险提示：本公司承诺以诚实信用、勤勉尽责的原则管理和运用基金资产，但不保证基金一定盈利，也不保证最低收益。敬请投资人注意投资风险。投资者投资基金前应认真阅读基金的</w:t>
      </w:r>
      <w:r w:rsidR="00E639BE">
        <w:rPr>
          <w:rFonts w:hint="eastAsia"/>
          <w:sz w:val="21"/>
          <w:szCs w:val="21"/>
        </w:rPr>
        <w:t>基金</w:t>
      </w:r>
      <w:r w:rsidR="00E639BE">
        <w:rPr>
          <w:sz w:val="21"/>
          <w:szCs w:val="21"/>
        </w:rPr>
        <w:t>产品资料概要、</w:t>
      </w:r>
      <w:r w:rsidRPr="00C14BE6">
        <w:rPr>
          <w:rFonts w:hint="eastAsia"/>
          <w:sz w:val="21"/>
          <w:szCs w:val="21"/>
        </w:rPr>
        <w:t>基金合同、更新的招募说明书等法律文件，并选择适合自身风险承受能力的投资品种进行投资。</w:t>
      </w:r>
    </w:p>
    <w:p w:rsidR="00B266A4" w:rsidRDefault="00B266A4" w:rsidP="00B266A4">
      <w:pPr>
        <w:pStyle w:val="HTML"/>
        <w:spacing w:before="100" w:beforeAutospacing="1" w:after="100" w:afterAutospacing="1" w:line="360" w:lineRule="auto"/>
        <w:ind w:firstLineChars="200" w:firstLine="420"/>
        <w:jc w:val="both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特此公告。</w:t>
      </w:r>
    </w:p>
    <w:p w:rsidR="00B266A4" w:rsidRDefault="00B266A4" w:rsidP="00B266A4">
      <w:pPr>
        <w:pStyle w:val="HTML"/>
        <w:spacing w:before="100" w:beforeAutospacing="1" w:after="100" w:afterAutospacing="1" w:line="360" w:lineRule="auto"/>
        <w:jc w:val="right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工银瑞信基金管理有限公司</w:t>
      </w:r>
    </w:p>
    <w:p w:rsidR="00B266A4" w:rsidRPr="00CA2350" w:rsidRDefault="00B266A4" w:rsidP="00CA2350">
      <w:pPr>
        <w:pStyle w:val="HTML"/>
        <w:spacing w:before="100" w:beforeAutospacing="1" w:after="100" w:afterAutospacing="1" w:line="360" w:lineRule="auto"/>
        <w:jc w:val="right"/>
        <w:rPr>
          <w:color w:val="1E1E1E"/>
          <w:sz w:val="21"/>
          <w:szCs w:val="21"/>
        </w:rPr>
      </w:pPr>
      <w:r w:rsidRPr="004A6A29">
        <w:rPr>
          <w:rFonts w:hint="eastAsia"/>
          <w:color w:val="1E1E1E"/>
          <w:sz w:val="21"/>
          <w:szCs w:val="21"/>
        </w:rPr>
        <w:t>20</w:t>
      </w:r>
      <w:r w:rsidRPr="004A6A29">
        <w:rPr>
          <w:color w:val="1E1E1E"/>
          <w:sz w:val="21"/>
          <w:szCs w:val="21"/>
        </w:rPr>
        <w:t>2</w:t>
      </w:r>
      <w:r w:rsidR="00EA30F5">
        <w:rPr>
          <w:color w:val="1E1E1E"/>
          <w:sz w:val="21"/>
          <w:szCs w:val="21"/>
        </w:rPr>
        <w:t>1</w:t>
      </w:r>
      <w:r w:rsidRPr="004A6A29">
        <w:rPr>
          <w:rFonts w:hint="eastAsia"/>
          <w:color w:val="1E1E1E"/>
          <w:sz w:val="21"/>
          <w:szCs w:val="21"/>
        </w:rPr>
        <w:t>年</w:t>
      </w:r>
      <w:r w:rsidR="00EA30F5">
        <w:rPr>
          <w:color w:val="1E1E1E"/>
          <w:sz w:val="21"/>
          <w:szCs w:val="21"/>
        </w:rPr>
        <w:t>1</w:t>
      </w:r>
      <w:r w:rsidRPr="004A6A29">
        <w:rPr>
          <w:rFonts w:hint="eastAsia"/>
          <w:color w:val="1E1E1E"/>
          <w:sz w:val="21"/>
          <w:szCs w:val="21"/>
        </w:rPr>
        <w:t>月</w:t>
      </w:r>
      <w:r w:rsidR="00034A5A">
        <w:rPr>
          <w:rFonts w:hint="eastAsia"/>
          <w:color w:val="1E1E1E"/>
          <w:sz w:val="21"/>
          <w:szCs w:val="21"/>
        </w:rPr>
        <w:t>12</w:t>
      </w:r>
      <w:r w:rsidRPr="004A6A29">
        <w:rPr>
          <w:rFonts w:hint="eastAsia"/>
          <w:color w:val="1E1E1E"/>
          <w:sz w:val="21"/>
          <w:szCs w:val="21"/>
        </w:rPr>
        <w:t>日</w:t>
      </w:r>
    </w:p>
    <w:sectPr w:rsidR="00B266A4" w:rsidRPr="00CA2350" w:rsidSect="0050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0E" w:rsidRDefault="0002400E" w:rsidP="00B266A4">
      <w:r>
        <w:separator/>
      </w:r>
    </w:p>
  </w:endnote>
  <w:endnote w:type="continuationSeparator" w:id="0">
    <w:p w:rsidR="0002400E" w:rsidRDefault="0002400E" w:rsidP="00B2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0E" w:rsidRDefault="0002400E" w:rsidP="00B266A4">
      <w:r>
        <w:separator/>
      </w:r>
    </w:p>
  </w:footnote>
  <w:footnote w:type="continuationSeparator" w:id="0">
    <w:p w:rsidR="0002400E" w:rsidRDefault="0002400E" w:rsidP="00B26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rvwupVOFdzQ45l5oxyO6sHHsz7dSG39NbwDSWVxbFryOAuF4QBq1CSJyzpjyci6CWNZIALXjDU0d&#10;A/MIz6hTuA==" w:salt="HkqynbU24hOw/sbV3DbOF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549120864153714NX"/>
    <w:docVar w:name="aztPrintName" w:val="000000ESAOAPRINT"/>
    <w:docVar w:name="aztPrintType" w:val="2"/>
  </w:docVars>
  <w:rsids>
    <w:rsidRoot w:val="00FA6C9A"/>
    <w:rsid w:val="0002400E"/>
    <w:rsid w:val="00034A5A"/>
    <w:rsid w:val="003D49BD"/>
    <w:rsid w:val="00714FE8"/>
    <w:rsid w:val="008D540E"/>
    <w:rsid w:val="00AC2344"/>
    <w:rsid w:val="00AC3CB1"/>
    <w:rsid w:val="00B266A4"/>
    <w:rsid w:val="00CA2350"/>
    <w:rsid w:val="00E639BE"/>
    <w:rsid w:val="00EA30F5"/>
    <w:rsid w:val="00EA556F"/>
    <w:rsid w:val="00F46F99"/>
    <w:rsid w:val="00F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6A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26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B266A4"/>
    <w:rPr>
      <w:rFonts w:ascii="Courier New" w:eastAsia="宋体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rsid w:val="00B266A4"/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A30F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A30F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A30F5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A30F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A30F5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A30F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A30F5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E639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杨雨诗</dc:creator>
  <cp:keywords/>
  <dc:description/>
  <cp:lastModifiedBy>ZHONGM</cp:lastModifiedBy>
  <cp:revision>2</cp:revision>
  <dcterms:created xsi:type="dcterms:W3CDTF">2021-01-12T16:04:00Z</dcterms:created>
  <dcterms:modified xsi:type="dcterms:W3CDTF">2021-01-12T16:04:00Z</dcterms:modified>
</cp:coreProperties>
</file>