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82" w:rsidRPr="00147B82" w:rsidRDefault="00257CD8" w:rsidP="006231F2">
      <w:pPr>
        <w:ind w:left="0" w:firstLine="0"/>
        <w:jc w:val="center"/>
        <w:rPr>
          <w:rFonts w:ascii="Times New Roman" w:hAnsi="Times New Roman"/>
          <w:b/>
          <w:sz w:val="28"/>
          <w:szCs w:val="24"/>
        </w:rPr>
      </w:pPr>
      <w:r w:rsidRPr="00147B82">
        <w:rPr>
          <w:rFonts w:ascii="Times New Roman" w:hAnsi="Times New Roman"/>
          <w:b/>
          <w:sz w:val="28"/>
          <w:szCs w:val="24"/>
        </w:rPr>
        <w:t>汇添富基金管理股份有限公司关于</w:t>
      </w:r>
      <w:r w:rsidR="00800369">
        <w:rPr>
          <w:rFonts w:ascii="Times New Roman" w:hAnsi="Times New Roman"/>
          <w:b/>
          <w:sz w:val="28"/>
          <w:szCs w:val="24"/>
        </w:rPr>
        <w:t>旗下基金</w:t>
      </w:r>
      <w:r w:rsidR="00D20228">
        <w:rPr>
          <w:rFonts w:ascii="Times New Roman" w:hAnsi="Times New Roman" w:hint="eastAsia"/>
          <w:b/>
          <w:sz w:val="28"/>
          <w:szCs w:val="24"/>
        </w:rPr>
        <w:t>开展</w:t>
      </w:r>
      <w:r w:rsidR="006231F2">
        <w:rPr>
          <w:rFonts w:ascii="Times New Roman" w:hAnsi="Times New Roman" w:hint="eastAsia"/>
          <w:b/>
          <w:sz w:val="28"/>
          <w:szCs w:val="24"/>
        </w:rPr>
        <w:t>线上</w:t>
      </w:r>
      <w:r>
        <w:rPr>
          <w:rFonts w:ascii="Times New Roman" w:hAnsi="Times New Roman"/>
          <w:b/>
          <w:sz w:val="28"/>
          <w:szCs w:val="24"/>
        </w:rPr>
        <w:t>直销</w:t>
      </w:r>
      <w:r w:rsidR="006231F2">
        <w:rPr>
          <w:rFonts w:ascii="Times New Roman" w:hAnsi="Times New Roman"/>
          <w:b/>
          <w:sz w:val="28"/>
          <w:szCs w:val="24"/>
        </w:rPr>
        <w:t>系统</w:t>
      </w:r>
      <w:r>
        <w:rPr>
          <w:rFonts w:ascii="Times New Roman" w:hAnsi="Times New Roman"/>
          <w:b/>
          <w:sz w:val="28"/>
          <w:szCs w:val="24"/>
        </w:rPr>
        <w:t>费率</w:t>
      </w:r>
      <w:r w:rsidR="00D20228">
        <w:rPr>
          <w:rFonts w:ascii="Times New Roman" w:hAnsi="Times New Roman" w:hint="eastAsia"/>
          <w:b/>
          <w:sz w:val="28"/>
          <w:szCs w:val="24"/>
        </w:rPr>
        <w:t>优惠</w:t>
      </w:r>
      <w:r w:rsidR="006231F2">
        <w:rPr>
          <w:rFonts w:ascii="Times New Roman" w:hAnsi="Times New Roman" w:hint="eastAsia"/>
          <w:b/>
          <w:sz w:val="28"/>
          <w:szCs w:val="24"/>
        </w:rPr>
        <w:t>活动</w:t>
      </w:r>
      <w:r w:rsidRPr="00147B82">
        <w:rPr>
          <w:rFonts w:ascii="Times New Roman" w:hAnsi="Times New Roman"/>
          <w:b/>
          <w:sz w:val="28"/>
          <w:szCs w:val="24"/>
        </w:rPr>
        <w:t>的</w:t>
      </w:r>
      <w:r w:rsidR="00227AFD">
        <w:rPr>
          <w:rFonts w:ascii="Times New Roman" w:hAnsi="Times New Roman"/>
          <w:b/>
          <w:sz w:val="28"/>
          <w:szCs w:val="24"/>
        </w:rPr>
        <w:t>提示性</w:t>
      </w:r>
      <w:r w:rsidRPr="00147B82">
        <w:rPr>
          <w:rFonts w:ascii="Times New Roman" w:hAnsi="Times New Roman"/>
          <w:b/>
          <w:sz w:val="28"/>
          <w:szCs w:val="24"/>
        </w:rPr>
        <w:t>公告</w:t>
      </w:r>
    </w:p>
    <w:p w:rsidR="00084443" w:rsidRDefault="00084443" w:rsidP="00D239CF">
      <w:pPr>
        <w:snapToGrid w:val="0"/>
        <w:ind w:left="0" w:firstLineChars="200" w:firstLine="480"/>
        <w:rPr>
          <w:rFonts w:ascii="Times New Roman"/>
          <w:sz w:val="24"/>
          <w:szCs w:val="24"/>
        </w:rPr>
      </w:pPr>
    </w:p>
    <w:p w:rsidR="00AF4D3E" w:rsidRPr="00D239CF" w:rsidRDefault="00084443" w:rsidP="00D239CF">
      <w:pPr>
        <w:snapToGrid w:val="0"/>
        <w:ind w:left="0" w:firstLineChars="200" w:firstLine="480"/>
        <w:rPr>
          <w:rFonts w:ascii="Times New Roman"/>
          <w:sz w:val="24"/>
          <w:szCs w:val="24"/>
        </w:rPr>
      </w:pPr>
      <w:r>
        <w:rPr>
          <w:rFonts w:ascii="Times New Roman" w:hint="eastAsia"/>
          <w:sz w:val="24"/>
          <w:szCs w:val="24"/>
        </w:rPr>
        <w:t>关于</w:t>
      </w:r>
      <w:r w:rsidR="00D348A2" w:rsidRPr="00D239CF">
        <w:rPr>
          <w:rFonts w:ascii="Times New Roman" w:hint="eastAsia"/>
          <w:sz w:val="24"/>
          <w:szCs w:val="24"/>
        </w:rPr>
        <w:t>汇添富基金管理股份有限公司线上</w:t>
      </w:r>
      <w:r w:rsidR="00D348A2" w:rsidRPr="00D239CF">
        <w:rPr>
          <w:rFonts w:ascii="Times New Roman"/>
          <w:sz w:val="24"/>
          <w:szCs w:val="24"/>
        </w:rPr>
        <w:t>直销</w:t>
      </w:r>
      <w:r w:rsidR="00D348A2" w:rsidRPr="00D239CF">
        <w:rPr>
          <w:rFonts w:ascii="Times New Roman" w:hint="eastAsia"/>
          <w:sz w:val="24"/>
          <w:szCs w:val="24"/>
        </w:rPr>
        <w:t>系统费率优惠活动事宜，汇添富基金管理股份有限公司（以下简称“</w:t>
      </w:r>
      <w:r w:rsidR="00AF4D3E" w:rsidRPr="00D239CF">
        <w:rPr>
          <w:rFonts w:ascii="Times New Roman" w:hint="eastAsia"/>
          <w:sz w:val="24"/>
          <w:szCs w:val="24"/>
        </w:rPr>
        <w:t>本公司</w:t>
      </w:r>
      <w:r w:rsidR="00D348A2" w:rsidRPr="00D239CF">
        <w:rPr>
          <w:rFonts w:ascii="Times New Roman" w:hint="eastAsia"/>
          <w:sz w:val="24"/>
          <w:szCs w:val="24"/>
        </w:rPr>
        <w:t>”）已</w:t>
      </w:r>
      <w:r w:rsidR="00AF4D3E" w:rsidRPr="00D239CF">
        <w:rPr>
          <w:rFonts w:ascii="Times New Roman" w:hint="eastAsia"/>
          <w:sz w:val="24"/>
          <w:szCs w:val="24"/>
        </w:rPr>
        <w:t>分别于</w:t>
      </w:r>
      <w:r w:rsidR="00AF4D3E" w:rsidRPr="00D239CF">
        <w:rPr>
          <w:rFonts w:ascii="Times New Roman" w:hint="eastAsia"/>
          <w:sz w:val="24"/>
          <w:szCs w:val="24"/>
        </w:rPr>
        <w:t>2019</w:t>
      </w:r>
      <w:r w:rsidR="00AF4D3E" w:rsidRPr="00D239CF">
        <w:rPr>
          <w:rFonts w:ascii="Times New Roman" w:hint="eastAsia"/>
          <w:sz w:val="24"/>
          <w:szCs w:val="24"/>
        </w:rPr>
        <w:t>年</w:t>
      </w:r>
      <w:r w:rsidR="00AF4D3E" w:rsidRPr="00D239CF">
        <w:rPr>
          <w:rFonts w:ascii="Times New Roman" w:hint="eastAsia"/>
          <w:sz w:val="24"/>
          <w:szCs w:val="24"/>
        </w:rPr>
        <w:t>12</w:t>
      </w:r>
      <w:r w:rsidR="00AF4D3E" w:rsidRPr="00D239CF">
        <w:rPr>
          <w:rFonts w:ascii="Times New Roman" w:hint="eastAsia"/>
          <w:sz w:val="24"/>
          <w:szCs w:val="24"/>
        </w:rPr>
        <w:t>月</w:t>
      </w:r>
      <w:r w:rsidR="00AF4D3E" w:rsidRPr="00D239CF">
        <w:rPr>
          <w:rFonts w:ascii="Times New Roman" w:hint="eastAsia"/>
          <w:sz w:val="24"/>
          <w:szCs w:val="24"/>
        </w:rPr>
        <w:t>14</w:t>
      </w:r>
      <w:r w:rsidR="00AF4D3E" w:rsidRPr="00D239CF">
        <w:rPr>
          <w:rFonts w:ascii="Times New Roman" w:hint="eastAsia"/>
          <w:sz w:val="24"/>
          <w:szCs w:val="24"/>
        </w:rPr>
        <w:t>日发布《汇添富基金管理股份有限公司关于旗下基金开展网上直销费率优惠的公告》，</w:t>
      </w:r>
      <w:r w:rsidR="00AF4D3E" w:rsidRPr="00D239CF">
        <w:rPr>
          <w:rFonts w:ascii="Times New Roman" w:hint="eastAsia"/>
          <w:sz w:val="24"/>
          <w:szCs w:val="24"/>
        </w:rPr>
        <w:t>2020</w:t>
      </w:r>
      <w:r w:rsidR="00AF4D3E" w:rsidRPr="00D239CF">
        <w:rPr>
          <w:rFonts w:ascii="Times New Roman" w:hint="eastAsia"/>
          <w:sz w:val="24"/>
          <w:szCs w:val="24"/>
        </w:rPr>
        <w:t>年</w:t>
      </w:r>
      <w:r w:rsidR="00AF4D3E" w:rsidRPr="00D239CF">
        <w:rPr>
          <w:rFonts w:ascii="Times New Roman" w:hint="eastAsia"/>
          <w:sz w:val="24"/>
          <w:szCs w:val="24"/>
        </w:rPr>
        <w:t>12</w:t>
      </w:r>
      <w:r w:rsidR="00AF4D3E" w:rsidRPr="00D239CF">
        <w:rPr>
          <w:rFonts w:ascii="Times New Roman" w:hint="eastAsia"/>
          <w:sz w:val="24"/>
          <w:szCs w:val="24"/>
        </w:rPr>
        <w:t>月</w:t>
      </w:r>
      <w:r w:rsidR="00AF4D3E" w:rsidRPr="00D239CF">
        <w:rPr>
          <w:rFonts w:ascii="Times New Roman" w:hint="eastAsia"/>
          <w:sz w:val="24"/>
          <w:szCs w:val="24"/>
        </w:rPr>
        <w:t>30</w:t>
      </w:r>
      <w:r w:rsidR="00AF4D3E" w:rsidRPr="00D239CF">
        <w:rPr>
          <w:rFonts w:ascii="Times New Roman" w:hint="eastAsia"/>
          <w:sz w:val="24"/>
          <w:szCs w:val="24"/>
        </w:rPr>
        <w:t>日发布《汇添富基金管理股份有限公司关于旗下基金开展线上直销系统费率优惠活动的公告》。为了优化广大投资者的投资理财体验，现将有关事项提示如下。</w:t>
      </w:r>
    </w:p>
    <w:p w:rsidR="00084443" w:rsidRPr="008B1D46" w:rsidRDefault="00AF4D3E" w:rsidP="00084443">
      <w:pPr>
        <w:snapToGrid w:val="0"/>
        <w:ind w:left="0" w:firstLineChars="200" w:firstLine="480"/>
        <w:rPr>
          <w:rFonts w:ascii="Times New Roman"/>
          <w:sz w:val="24"/>
          <w:szCs w:val="24"/>
        </w:rPr>
      </w:pPr>
      <w:r w:rsidRPr="00D239CF">
        <w:rPr>
          <w:rFonts w:ascii="Times New Roman" w:hint="eastAsia"/>
          <w:sz w:val="24"/>
          <w:szCs w:val="24"/>
        </w:rPr>
        <w:t>自</w:t>
      </w:r>
      <w:r w:rsidRPr="00D239CF">
        <w:rPr>
          <w:rFonts w:ascii="Times New Roman" w:hint="eastAsia"/>
          <w:sz w:val="24"/>
          <w:szCs w:val="24"/>
        </w:rPr>
        <w:t>2019</w:t>
      </w:r>
      <w:r w:rsidRPr="00D239CF">
        <w:rPr>
          <w:rFonts w:ascii="Times New Roman" w:hint="eastAsia"/>
          <w:sz w:val="24"/>
          <w:szCs w:val="24"/>
        </w:rPr>
        <w:t>年</w:t>
      </w:r>
      <w:r w:rsidRPr="00D239CF">
        <w:rPr>
          <w:rFonts w:ascii="Times New Roman" w:hint="eastAsia"/>
          <w:sz w:val="24"/>
          <w:szCs w:val="24"/>
        </w:rPr>
        <w:t>12</w:t>
      </w:r>
      <w:r w:rsidRPr="00D239CF">
        <w:rPr>
          <w:rFonts w:ascii="Times New Roman" w:hint="eastAsia"/>
          <w:sz w:val="24"/>
          <w:szCs w:val="24"/>
        </w:rPr>
        <w:t>月</w:t>
      </w:r>
      <w:r w:rsidRPr="00D239CF">
        <w:rPr>
          <w:rFonts w:ascii="Times New Roman" w:hint="eastAsia"/>
          <w:sz w:val="24"/>
          <w:szCs w:val="24"/>
        </w:rPr>
        <w:t>16</w:t>
      </w:r>
      <w:r w:rsidRPr="00D239CF">
        <w:rPr>
          <w:rFonts w:ascii="Times New Roman" w:hint="eastAsia"/>
          <w:sz w:val="24"/>
          <w:szCs w:val="24"/>
        </w:rPr>
        <w:t>日起，投资者通过本公司线上直销系统（含网站“</w:t>
      </w:r>
      <w:r w:rsidRPr="00D239CF">
        <w:rPr>
          <w:rFonts w:ascii="Times New Roman" w:hint="eastAsia"/>
          <w:sz w:val="24"/>
          <w:szCs w:val="24"/>
        </w:rPr>
        <w:t>trade.99fund.com</w:t>
      </w:r>
      <w:r w:rsidRPr="00D239CF">
        <w:rPr>
          <w:rFonts w:ascii="Times New Roman" w:hint="eastAsia"/>
          <w:sz w:val="24"/>
          <w:szCs w:val="24"/>
        </w:rPr>
        <w:t>”和移动客户端“现金宝”</w:t>
      </w:r>
      <w:r w:rsidRPr="00D239CF">
        <w:rPr>
          <w:rFonts w:ascii="Times New Roman" w:hint="eastAsia"/>
          <w:sz w:val="24"/>
          <w:szCs w:val="24"/>
        </w:rPr>
        <w:t>APP</w:t>
      </w:r>
      <w:r w:rsidRPr="00D239CF">
        <w:rPr>
          <w:rFonts w:ascii="Times New Roman" w:hint="eastAsia"/>
          <w:sz w:val="24"/>
          <w:szCs w:val="24"/>
        </w:rPr>
        <w:t>）认</w:t>
      </w:r>
      <w:r w:rsidRPr="00D239CF">
        <w:rPr>
          <w:rFonts w:ascii="Times New Roman" w:hint="eastAsia"/>
          <w:sz w:val="24"/>
          <w:szCs w:val="24"/>
        </w:rPr>
        <w:t>/</w:t>
      </w:r>
      <w:r w:rsidRPr="00D239CF">
        <w:rPr>
          <w:rFonts w:ascii="Times New Roman" w:hint="eastAsia"/>
          <w:sz w:val="24"/>
          <w:szCs w:val="24"/>
        </w:rPr>
        <w:t>申购（含定投及转换转入）旗下</w:t>
      </w:r>
      <w:r w:rsidR="00084443" w:rsidRPr="00D239CF">
        <w:rPr>
          <w:rFonts w:ascii="Times New Roman" w:hint="eastAsia"/>
          <w:sz w:val="24"/>
          <w:szCs w:val="24"/>
        </w:rPr>
        <w:t>部分</w:t>
      </w:r>
      <w:r w:rsidRPr="00D239CF">
        <w:rPr>
          <w:rFonts w:ascii="Times New Roman" w:hint="eastAsia"/>
          <w:sz w:val="24"/>
          <w:szCs w:val="24"/>
        </w:rPr>
        <w:t>基金，享受认</w:t>
      </w:r>
      <w:r w:rsidRPr="00D239CF">
        <w:rPr>
          <w:rFonts w:ascii="Times New Roman" w:hint="eastAsia"/>
          <w:sz w:val="24"/>
          <w:szCs w:val="24"/>
        </w:rPr>
        <w:t>/</w:t>
      </w:r>
      <w:r w:rsidRPr="00D239CF">
        <w:rPr>
          <w:rFonts w:ascii="Times New Roman" w:hint="eastAsia"/>
          <w:sz w:val="24"/>
          <w:szCs w:val="24"/>
        </w:rPr>
        <w:t>申购费率</w:t>
      </w:r>
      <w:r w:rsidRPr="00D239CF">
        <w:rPr>
          <w:rFonts w:ascii="Times New Roman" w:hint="eastAsia"/>
          <w:sz w:val="24"/>
          <w:szCs w:val="24"/>
        </w:rPr>
        <w:t>0.1</w:t>
      </w:r>
      <w:r w:rsidRPr="00D239CF">
        <w:rPr>
          <w:rFonts w:ascii="Times New Roman" w:hint="eastAsia"/>
          <w:sz w:val="24"/>
          <w:szCs w:val="24"/>
        </w:rPr>
        <w:t>折优惠（认</w:t>
      </w:r>
      <w:r w:rsidRPr="00D239CF">
        <w:rPr>
          <w:rFonts w:ascii="Times New Roman" w:hint="eastAsia"/>
          <w:sz w:val="24"/>
          <w:szCs w:val="24"/>
        </w:rPr>
        <w:t>/</w:t>
      </w:r>
      <w:r w:rsidRPr="00D239CF">
        <w:rPr>
          <w:rFonts w:ascii="Times New Roman" w:hint="eastAsia"/>
          <w:sz w:val="24"/>
          <w:szCs w:val="24"/>
        </w:rPr>
        <w:t>申购费为固定金额的，同样适用该优惠）。</w:t>
      </w:r>
      <w:r w:rsidR="00084443" w:rsidRPr="008B1D46">
        <w:rPr>
          <w:rFonts w:ascii="Times New Roman" w:hint="eastAsia"/>
          <w:sz w:val="24"/>
          <w:szCs w:val="24"/>
        </w:rPr>
        <w:t>本次费率优惠活动适用于本公司旗下所有处于认购期或正常申购期的开放式基金（仅限前端收费模式、场外模式，适用基金列表详见附件</w:t>
      </w:r>
      <w:r w:rsidR="00084443">
        <w:rPr>
          <w:rFonts w:ascii="Times New Roman" w:hint="eastAsia"/>
          <w:sz w:val="24"/>
          <w:szCs w:val="24"/>
        </w:rPr>
        <w:t>1</w:t>
      </w:r>
      <w:r w:rsidR="00084443" w:rsidRPr="008B1D46">
        <w:rPr>
          <w:rFonts w:ascii="Times New Roman" w:hint="eastAsia"/>
          <w:sz w:val="24"/>
          <w:szCs w:val="24"/>
        </w:rPr>
        <w:t>）。活动期间符合上述条件的新增基金均可适用。</w:t>
      </w:r>
    </w:p>
    <w:p w:rsidR="00084443" w:rsidRDefault="00AF4D3E" w:rsidP="00D239CF">
      <w:pPr>
        <w:snapToGrid w:val="0"/>
        <w:ind w:left="0" w:firstLineChars="200" w:firstLine="480"/>
        <w:rPr>
          <w:rFonts w:ascii="Times New Roman"/>
          <w:sz w:val="24"/>
          <w:szCs w:val="24"/>
        </w:rPr>
      </w:pPr>
      <w:r w:rsidRPr="00B3097F">
        <w:rPr>
          <w:rFonts w:ascii="Times New Roman" w:hint="eastAsia"/>
          <w:sz w:val="24"/>
          <w:szCs w:val="24"/>
        </w:rPr>
        <w:t>自</w:t>
      </w:r>
      <w:r w:rsidRPr="00B3097F">
        <w:rPr>
          <w:rFonts w:ascii="Times New Roman" w:hint="eastAsia"/>
          <w:sz w:val="24"/>
          <w:szCs w:val="24"/>
        </w:rPr>
        <w:t>2021</w:t>
      </w:r>
      <w:r w:rsidRPr="00B3097F">
        <w:rPr>
          <w:rFonts w:ascii="Times New Roman" w:hint="eastAsia"/>
          <w:sz w:val="24"/>
          <w:szCs w:val="24"/>
        </w:rPr>
        <w:t>年</w:t>
      </w:r>
      <w:r w:rsidRPr="00B3097F">
        <w:rPr>
          <w:rFonts w:ascii="Times New Roman" w:hint="eastAsia"/>
          <w:sz w:val="24"/>
          <w:szCs w:val="24"/>
        </w:rPr>
        <w:t>1</w:t>
      </w:r>
      <w:r w:rsidRPr="00B3097F">
        <w:rPr>
          <w:rFonts w:ascii="Times New Roman" w:hint="eastAsia"/>
          <w:sz w:val="24"/>
          <w:szCs w:val="24"/>
        </w:rPr>
        <w:t>月</w:t>
      </w:r>
      <w:r w:rsidR="00B3097F" w:rsidRPr="00B3097F">
        <w:rPr>
          <w:rFonts w:ascii="Times New Roman"/>
          <w:sz w:val="24"/>
          <w:szCs w:val="24"/>
        </w:rPr>
        <w:t>11</w:t>
      </w:r>
      <w:r w:rsidRPr="00B3097F">
        <w:rPr>
          <w:rFonts w:ascii="Times New Roman" w:hint="eastAsia"/>
          <w:sz w:val="24"/>
          <w:szCs w:val="24"/>
        </w:rPr>
        <w:t>日起，投资</w:t>
      </w:r>
      <w:r w:rsidRPr="00D239CF">
        <w:rPr>
          <w:rFonts w:ascii="Times New Roman" w:hint="eastAsia"/>
          <w:sz w:val="24"/>
          <w:szCs w:val="24"/>
        </w:rPr>
        <w:t>者通过本公司线上直销系统注册成为会员，满足一定条件后，通过线上直销系统认</w:t>
      </w:r>
      <w:r w:rsidRPr="00D239CF">
        <w:rPr>
          <w:rFonts w:ascii="Times New Roman" w:hint="eastAsia"/>
          <w:sz w:val="24"/>
          <w:szCs w:val="24"/>
        </w:rPr>
        <w:t>/</w:t>
      </w:r>
      <w:r w:rsidRPr="00D239CF">
        <w:rPr>
          <w:rFonts w:ascii="Times New Roman" w:hint="eastAsia"/>
          <w:sz w:val="24"/>
          <w:szCs w:val="24"/>
        </w:rPr>
        <w:t>申购（含定投及转换转入）</w:t>
      </w:r>
      <w:r w:rsidR="00084443" w:rsidRPr="00D239CF">
        <w:rPr>
          <w:rFonts w:ascii="Times New Roman" w:hint="eastAsia"/>
          <w:sz w:val="24"/>
          <w:szCs w:val="24"/>
        </w:rPr>
        <w:t>上述</w:t>
      </w:r>
      <w:r w:rsidRPr="00D239CF">
        <w:rPr>
          <w:rFonts w:ascii="Times New Roman" w:hint="eastAsia"/>
          <w:sz w:val="24"/>
          <w:szCs w:val="24"/>
        </w:rPr>
        <w:t>基金享受对应费率优惠</w:t>
      </w:r>
      <w:r w:rsidR="00084443" w:rsidRPr="00D239CF">
        <w:rPr>
          <w:rFonts w:ascii="Times New Roman" w:hint="eastAsia"/>
          <w:sz w:val="24"/>
          <w:szCs w:val="24"/>
        </w:rPr>
        <w:t>（会员等级界定及</w:t>
      </w:r>
      <w:r w:rsidR="00084443">
        <w:rPr>
          <w:rFonts w:ascii="Times New Roman" w:hint="eastAsia"/>
          <w:sz w:val="24"/>
          <w:szCs w:val="24"/>
        </w:rPr>
        <w:t>其</w:t>
      </w:r>
      <w:r w:rsidR="00084443" w:rsidRPr="00D239CF">
        <w:rPr>
          <w:rFonts w:ascii="Times New Roman" w:hint="eastAsia"/>
          <w:sz w:val="24"/>
          <w:szCs w:val="24"/>
        </w:rPr>
        <w:t>费率优惠方案</w:t>
      </w:r>
      <w:r w:rsidR="00084443" w:rsidRPr="008B1D46">
        <w:rPr>
          <w:rFonts w:ascii="Times New Roman" w:hint="eastAsia"/>
          <w:sz w:val="24"/>
          <w:szCs w:val="24"/>
        </w:rPr>
        <w:t>详见附件</w:t>
      </w:r>
      <w:r w:rsidR="00084443">
        <w:rPr>
          <w:rFonts w:ascii="Times New Roman" w:hint="eastAsia"/>
          <w:sz w:val="24"/>
          <w:szCs w:val="24"/>
        </w:rPr>
        <w:t>2</w:t>
      </w:r>
      <w:r w:rsidR="00084443" w:rsidRPr="00D239CF">
        <w:rPr>
          <w:rFonts w:ascii="Times New Roman" w:hint="eastAsia"/>
          <w:sz w:val="24"/>
          <w:szCs w:val="24"/>
        </w:rPr>
        <w:t>）。</w:t>
      </w:r>
    </w:p>
    <w:p w:rsidR="00AF4D3E" w:rsidRPr="00D239CF" w:rsidRDefault="00084443" w:rsidP="00D239CF">
      <w:pPr>
        <w:snapToGrid w:val="0"/>
        <w:ind w:left="0" w:firstLineChars="200" w:firstLine="480"/>
        <w:rPr>
          <w:rFonts w:ascii="Times New Roman"/>
          <w:sz w:val="24"/>
          <w:szCs w:val="24"/>
        </w:rPr>
      </w:pPr>
      <w:r w:rsidRPr="00D239CF">
        <w:rPr>
          <w:rFonts w:ascii="Times New Roman" w:hint="eastAsia"/>
          <w:sz w:val="24"/>
          <w:szCs w:val="24"/>
        </w:rPr>
        <w:t>本次</w:t>
      </w:r>
      <w:r w:rsidR="00AF4D3E" w:rsidRPr="00D239CF">
        <w:rPr>
          <w:rFonts w:ascii="Times New Roman" w:hint="eastAsia"/>
          <w:sz w:val="24"/>
          <w:szCs w:val="24"/>
        </w:rPr>
        <w:t>活动涉及的费率优惠以适用基金的招募说明书（或更新）中规定的费率为基础，按照前述</w:t>
      </w:r>
      <w:r w:rsidR="00AF4D3E" w:rsidRPr="00D239CF">
        <w:rPr>
          <w:rFonts w:ascii="Times New Roman" w:hint="eastAsia"/>
          <w:sz w:val="24"/>
          <w:szCs w:val="24"/>
        </w:rPr>
        <w:t>0.1</w:t>
      </w:r>
      <w:r w:rsidR="00AF4D3E" w:rsidRPr="00D239CF">
        <w:rPr>
          <w:rFonts w:ascii="Times New Roman" w:hint="eastAsia"/>
          <w:sz w:val="24"/>
          <w:szCs w:val="24"/>
        </w:rPr>
        <w:t>折费率优惠与会员所享费率孰低的原则进行费率优惠。</w:t>
      </w:r>
    </w:p>
    <w:p w:rsidR="00AF4D3E" w:rsidRPr="00D239CF" w:rsidRDefault="00AF4D3E" w:rsidP="00D239CF">
      <w:pPr>
        <w:snapToGrid w:val="0"/>
        <w:ind w:left="0" w:firstLineChars="200" w:firstLine="480"/>
        <w:rPr>
          <w:rFonts w:ascii="Times New Roman" w:hint="eastAsia"/>
          <w:sz w:val="24"/>
          <w:szCs w:val="24"/>
        </w:rPr>
      </w:pPr>
      <w:r w:rsidRPr="00D239CF">
        <w:rPr>
          <w:rFonts w:ascii="Times New Roman" w:hint="eastAsia"/>
          <w:sz w:val="24"/>
          <w:szCs w:val="24"/>
        </w:rPr>
        <w:t>如上述费率优惠活动方案有所调整，本公司将另行公告。投资者可拨打本公司客户服务热线（</w:t>
      </w:r>
      <w:r w:rsidRPr="00D239CF">
        <w:rPr>
          <w:rFonts w:ascii="Times New Roman" w:hint="eastAsia"/>
          <w:sz w:val="24"/>
          <w:szCs w:val="24"/>
        </w:rPr>
        <w:t>400-888-9918</w:t>
      </w:r>
      <w:r w:rsidRPr="00D239CF">
        <w:rPr>
          <w:rFonts w:ascii="Times New Roman" w:hint="eastAsia"/>
          <w:sz w:val="24"/>
          <w:szCs w:val="24"/>
        </w:rPr>
        <w:t>）咨询活动详情。</w:t>
      </w:r>
    </w:p>
    <w:p w:rsidR="0017289C" w:rsidRPr="00AD1347" w:rsidRDefault="0017289C" w:rsidP="00497E02">
      <w:pPr>
        <w:snapToGrid w:val="0"/>
        <w:ind w:left="0" w:firstLineChars="200" w:firstLine="480"/>
        <w:rPr>
          <w:rFonts w:ascii="Times New Roman" w:hAnsi="Times New Roman"/>
          <w:sz w:val="24"/>
          <w:szCs w:val="24"/>
        </w:rPr>
      </w:pPr>
      <w:r w:rsidRPr="00AD1347">
        <w:rPr>
          <w:rFonts w:ascii="Times New Roman"/>
          <w:sz w:val="24"/>
          <w:szCs w:val="24"/>
        </w:rPr>
        <w:t>汇添富基金高度重视投资者服务和投资者教育，特此提醒投资者需正确认知基金投资的风险和长期收益，做理性的基金投资人，做明白的基金投资人，享受长期投资的快乐！</w:t>
      </w:r>
    </w:p>
    <w:p w:rsidR="0017289C" w:rsidRPr="00AD1347" w:rsidRDefault="0017289C" w:rsidP="00D20228">
      <w:pPr>
        <w:snapToGrid w:val="0"/>
        <w:ind w:left="0" w:firstLineChars="200" w:firstLine="480"/>
        <w:jc w:val="left"/>
        <w:rPr>
          <w:rFonts w:ascii="Times New Roman" w:hAnsi="Times New Roman"/>
          <w:sz w:val="24"/>
          <w:szCs w:val="24"/>
        </w:rPr>
      </w:pPr>
      <w:r w:rsidRPr="00AD1347">
        <w:rPr>
          <w:rFonts w:ascii="Times New Roman"/>
          <w:sz w:val="24"/>
          <w:szCs w:val="24"/>
        </w:rPr>
        <w:t>特此公告</w:t>
      </w:r>
      <w:r>
        <w:rPr>
          <w:rFonts w:ascii="Times New Roman" w:hint="eastAsia"/>
          <w:sz w:val="24"/>
          <w:szCs w:val="24"/>
        </w:rPr>
        <w:t>。</w:t>
      </w:r>
    </w:p>
    <w:p w:rsidR="0017289C" w:rsidRPr="00AD1347" w:rsidRDefault="0017289C" w:rsidP="0017289C">
      <w:pPr>
        <w:ind w:left="0" w:firstLineChars="200" w:firstLine="480"/>
        <w:rPr>
          <w:rFonts w:ascii="Times New Roman" w:hAnsi="Times New Roman"/>
          <w:sz w:val="24"/>
          <w:szCs w:val="24"/>
        </w:rPr>
      </w:pPr>
    </w:p>
    <w:p w:rsidR="0017289C" w:rsidRPr="00AD1347" w:rsidRDefault="0017289C" w:rsidP="0017289C">
      <w:pPr>
        <w:ind w:left="0" w:firstLineChars="200" w:firstLine="480"/>
        <w:jc w:val="right"/>
        <w:rPr>
          <w:rFonts w:ascii="Times New Roman" w:hAnsi="Times New Roman"/>
          <w:sz w:val="24"/>
          <w:szCs w:val="24"/>
        </w:rPr>
      </w:pPr>
      <w:r w:rsidRPr="00AD1347">
        <w:rPr>
          <w:rFonts w:ascii="Times New Roman"/>
          <w:sz w:val="24"/>
          <w:szCs w:val="24"/>
        </w:rPr>
        <w:t>汇添富基金管理股份有限公司</w:t>
      </w:r>
    </w:p>
    <w:p w:rsidR="0017289C" w:rsidRDefault="00084443" w:rsidP="0017289C">
      <w:pPr>
        <w:ind w:left="0" w:firstLineChars="200" w:firstLine="480"/>
        <w:jc w:val="right"/>
        <w:rPr>
          <w:rFonts w:ascii="Times New Roman"/>
          <w:sz w:val="24"/>
          <w:szCs w:val="24"/>
        </w:rPr>
      </w:pPr>
      <w:r w:rsidRPr="00B3097F">
        <w:rPr>
          <w:rFonts w:ascii="Times New Roman" w:hAnsi="Times New Roman"/>
          <w:sz w:val="24"/>
          <w:szCs w:val="24"/>
        </w:rPr>
        <w:t>2021</w:t>
      </w:r>
      <w:r w:rsidR="00985B02" w:rsidRPr="00B3097F">
        <w:rPr>
          <w:rFonts w:ascii="Times New Roman"/>
          <w:sz w:val="24"/>
          <w:szCs w:val="24"/>
        </w:rPr>
        <w:t>年</w:t>
      </w:r>
      <w:r w:rsidRPr="00B3097F">
        <w:rPr>
          <w:rFonts w:ascii="Times New Roman" w:hAnsi="Times New Roman"/>
          <w:sz w:val="24"/>
          <w:szCs w:val="24"/>
        </w:rPr>
        <w:t>1</w:t>
      </w:r>
      <w:r w:rsidR="0017289C" w:rsidRPr="00B3097F">
        <w:rPr>
          <w:rFonts w:ascii="Times New Roman"/>
          <w:sz w:val="24"/>
          <w:szCs w:val="24"/>
        </w:rPr>
        <w:t>月</w:t>
      </w:r>
      <w:r w:rsidR="00B3097F" w:rsidRPr="00B3097F">
        <w:rPr>
          <w:rFonts w:ascii="Times New Roman" w:hAnsi="Times New Roman"/>
          <w:sz w:val="24"/>
          <w:szCs w:val="24"/>
        </w:rPr>
        <w:t>9</w:t>
      </w:r>
      <w:r w:rsidR="0017289C" w:rsidRPr="00B3097F">
        <w:rPr>
          <w:rFonts w:ascii="Times New Roman"/>
          <w:sz w:val="24"/>
          <w:szCs w:val="24"/>
        </w:rPr>
        <w:t>日</w:t>
      </w:r>
    </w:p>
    <w:p w:rsidR="00C0186F" w:rsidRDefault="00C0186F" w:rsidP="00C0186F">
      <w:pPr>
        <w:ind w:left="0" w:firstLineChars="200" w:firstLine="480"/>
        <w:jc w:val="left"/>
        <w:rPr>
          <w:rFonts w:ascii="Times New Roman"/>
          <w:sz w:val="24"/>
          <w:szCs w:val="24"/>
        </w:rPr>
      </w:pPr>
    </w:p>
    <w:p w:rsidR="00C0186F" w:rsidRDefault="00C0186F" w:rsidP="00C0186F">
      <w:pPr>
        <w:ind w:left="0" w:firstLineChars="200" w:firstLine="480"/>
        <w:jc w:val="left"/>
        <w:rPr>
          <w:rFonts w:ascii="Times New Roman"/>
          <w:sz w:val="24"/>
          <w:szCs w:val="24"/>
        </w:rPr>
      </w:pPr>
      <w:r w:rsidRPr="00497E02">
        <w:rPr>
          <w:rFonts w:ascii="Times New Roman"/>
          <w:sz w:val="24"/>
          <w:szCs w:val="24"/>
        </w:rPr>
        <w:lastRenderedPageBreak/>
        <w:t>附件</w:t>
      </w:r>
      <w:r w:rsidR="00084443">
        <w:rPr>
          <w:rFonts w:ascii="Times New Roman" w:hint="eastAsia"/>
          <w:sz w:val="24"/>
          <w:szCs w:val="24"/>
        </w:rPr>
        <w:t>1</w:t>
      </w:r>
      <w:r w:rsidRPr="00497E02">
        <w:rPr>
          <w:rFonts w:ascii="Times New Roman" w:hint="eastAsia"/>
          <w:sz w:val="24"/>
          <w:szCs w:val="24"/>
        </w:rPr>
        <w:t>：</w:t>
      </w:r>
      <w:r w:rsidRPr="00497E02">
        <w:rPr>
          <w:rFonts w:ascii="Times New Roman"/>
          <w:sz w:val="24"/>
          <w:szCs w:val="24"/>
        </w:rPr>
        <w:t>本次</w:t>
      </w:r>
      <w:r w:rsidR="0079172C" w:rsidRPr="00497E02">
        <w:rPr>
          <w:rFonts w:ascii="Times New Roman" w:hint="eastAsia"/>
          <w:sz w:val="24"/>
          <w:szCs w:val="24"/>
        </w:rPr>
        <w:t>费率优惠</w:t>
      </w:r>
      <w:r w:rsidRPr="00497E02">
        <w:rPr>
          <w:rFonts w:ascii="Times New Roman"/>
          <w:sz w:val="24"/>
          <w:szCs w:val="24"/>
        </w:rPr>
        <w:t>活动适用基金列表</w:t>
      </w:r>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2172"/>
        <w:gridCol w:w="5105"/>
      </w:tblGrid>
      <w:tr w:rsidR="0079172C" w:rsidRPr="0079172C" w:rsidTr="00B73004">
        <w:trPr>
          <w:trHeight w:val="288"/>
          <w:jc w:val="center"/>
        </w:trPr>
        <w:tc>
          <w:tcPr>
            <w:tcW w:w="776" w:type="pct"/>
            <w:shd w:val="clear" w:color="auto" w:fill="auto"/>
            <w:noWrap/>
            <w:vAlign w:val="center"/>
            <w:hideMark/>
          </w:tcPr>
          <w:p w:rsidR="0079172C" w:rsidRPr="0079172C" w:rsidRDefault="0079172C" w:rsidP="0079172C">
            <w:pPr>
              <w:widowControl/>
              <w:spacing w:line="240" w:lineRule="auto"/>
              <w:ind w:left="0" w:firstLine="0"/>
              <w:jc w:val="center"/>
              <w:rPr>
                <w:rFonts w:ascii="宋体" w:hAnsi="宋体" w:cs="宋体"/>
                <w:color w:val="000000"/>
                <w:kern w:val="0"/>
                <w:sz w:val="22"/>
              </w:rPr>
            </w:pPr>
            <w:r w:rsidRPr="0079172C">
              <w:rPr>
                <w:rFonts w:ascii="宋体" w:hAnsi="宋体" w:cs="宋体" w:hint="eastAsia"/>
                <w:color w:val="000000"/>
                <w:kern w:val="0"/>
                <w:sz w:val="22"/>
              </w:rPr>
              <w:t>序号</w:t>
            </w:r>
          </w:p>
        </w:tc>
        <w:tc>
          <w:tcPr>
            <w:tcW w:w="1261" w:type="pct"/>
            <w:shd w:val="clear" w:color="auto" w:fill="auto"/>
            <w:noWrap/>
            <w:vAlign w:val="center"/>
            <w:hideMark/>
          </w:tcPr>
          <w:p w:rsidR="0079172C" w:rsidRPr="0079172C" w:rsidRDefault="0079172C" w:rsidP="0079172C">
            <w:pPr>
              <w:widowControl/>
              <w:spacing w:line="240" w:lineRule="auto"/>
              <w:ind w:left="0" w:firstLine="0"/>
              <w:jc w:val="center"/>
              <w:rPr>
                <w:rFonts w:ascii="宋体" w:hAnsi="宋体" w:cs="宋体" w:hint="eastAsia"/>
                <w:color w:val="000000"/>
                <w:kern w:val="0"/>
                <w:sz w:val="22"/>
              </w:rPr>
            </w:pPr>
            <w:r w:rsidRPr="0079172C">
              <w:rPr>
                <w:rFonts w:ascii="宋体" w:hAnsi="宋体" w:cs="宋体" w:hint="eastAsia"/>
                <w:color w:val="000000"/>
                <w:kern w:val="0"/>
                <w:sz w:val="22"/>
              </w:rPr>
              <w:t>基金代码</w:t>
            </w:r>
          </w:p>
        </w:tc>
        <w:tc>
          <w:tcPr>
            <w:tcW w:w="2963" w:type="pct"/>
            <w:shd w:val="clear" w:color="auto" w:fill="auto"/>
            <w:noWrap/>
            <w:vAlign w:val="center"/>
            <w:hideMark/>
          </w:tcPr>
          <w:p w:rsidR="0079172C" w:rsidRPr="0079172C" w:rsidRDefault="0079172C" w:rsidP="0079172C">
            <w:pPr>
              <w:widowControl/>
              <w:spacing w:line="240" w:lineRule="auto"/>
              <w:ind w:left="0" w:firstLine="0"/>
              <w:jc w:val="center"/>
              <w:rPr>
                <w:rFonts w:ascii="宋体" w:hAnsi="宋体" w:cs="宋体" w:hint="eastAsia"/>
                <w:color w:val="000000"/>
                <w:kern w:val="0"/>
                <w:sz w:val="22"/>
              </w:rPr>
            </w:pPr>
            <w:r w:rsidRPr="0079172C">
              <w:rPr>
                <w:rFonts w:ascii="宋体" w:hAnsi="宋体" w:cs="宋体" w:hint="eastAsia"/>
                <w:color w:val="000000"/>
                <w:kern w:val="0"/>
                <w:sz w:val="22"/>
              </w:rPr>
              <w:t>基金简称</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color w:val="000000"/>
                <w:kern w:val="0"/>
                <w:sz w:val="22"/>
              </w:rPr>
            </w:pPr>
            <w:r w:rsidRPr="000065DD">
              <w:rPr>
                <w:rFonts w:ascii="宋体" w:hAnsi="宋体" w:cs="宋体" w:hint="eastAsia"/>
                <w:color w:val="000000"/>
                <w:kern w:val="0"/>
                <w:sz w:val="22"/>
              </w:rPr>
              <w:t>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007154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添富中证银行ETF联接C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007153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添富中证银行ETF联接A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007077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添富中证医药ETF联接C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007076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添富中证医药ETF联接A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008908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添富中证国企一带一路ETF联接C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008907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添富中证国企一带一路ETF联接A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007098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添富中债1-3年国开债C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007097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添富中债1-3年国开债A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005802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添富智能制造股票</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004947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添富盈润混合C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004946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添富盈润混合A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004656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添富鑫汇定开债券C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004655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添富鑫汇定开债券A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006408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添富消费升级混合</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004688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添富熙和混合C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004687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添富熙和混合A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004774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添富添福吉祥混合</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004877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添富全球医疗混合(QDII)人民币</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004878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添富全球医疗混合(QDII)美元现汇</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006309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添富全球消费混合（QDII）人民币C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006308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添富全球消费混合（QDII）人民币A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006310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添富全球消费混合（QDII）美元现汇</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004535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添富年年益定开混合C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004534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添富年年益定开混合A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004437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添富年年泰定开混合C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004436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添富年年泰定开混合A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004452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添富年年丰定开混合C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004451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添富年年丰定开混合A</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005330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添富民安增益定开混合C</w:t>
            </w:r>
          </w:p>
        </w:tc>
      </w:tr>
      <w:tr w:rsidR="000065DD"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005329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5DD" w:rsidRPr="000065DD" w:rsidRDefault="000065DD"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添富民安增益定开混合A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005379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添富价值创造定开混合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006205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添富沪港深优势定开</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005504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添富沪港深大盘价值混合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006260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添富红利增长混合C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006259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添富红利增长混合A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005351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添富行业整合混合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005228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添富港股通专注成长</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006772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添富丰润中短债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39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006647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添富短债债券C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006646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添富短债债券A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lastRenderedPageBreak/>
              <w:t>41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006113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添富创新医药混合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006885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添富AAA级信用纯债C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006884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添富AAA级信用纯债A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006696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添富3年封闭研究优选混合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003194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上海国企ETF联接</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000248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汇添富中证主要消费ETF联接</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501012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汇添富中证中药指数（LOF）C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501011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汇添富中证中药指数（LOF）A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007840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汇添富中证长三角ETF联接C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007839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汇添富中证长三角ETF联接A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501058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汇添富中证新能源汽车产业指数（LOF）C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501057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汇添富中证新能源汽车产业指数（LOF）A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501010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汇添富中证生物科技指数（LOF）C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501009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汇添富中证生物科技指数（LOF）A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汇添富中证全指证券公司指数（LOF）C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汇添富中证全指证券公司指数（LOF）A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501006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汇添富中证精准医指数(LOF)C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501031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汇添富中证环境治理指数（LOF）C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501030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汇添富中证环境治理指数（LOF）A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汇添富中证互联网医疗指数(LOF)C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501007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汇添富中证互联网医疗指数(LOF)A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501306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汇添富中证港股通高股息投资指数（LOF）C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501305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汇添富中证港股通高股息投资指数（LOF）A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501037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汇添富中证500指数（LOF）C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501036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汇添富中证500指数（LOF）A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008055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汇添富中债7-10年国开债C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008054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汇添富中债7-10年国开债A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007290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汇添富中债1-3年农发债C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69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007289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汇添富中债1-3年农发债A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009548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汇添富中盘价值精选混合A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008065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汇添富中盘积极成长混合A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007901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汇添富中短债A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003529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汇添富长添利定期开放债券C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003528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汇添富长添利定期开放债券A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470078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汇添富增强收益债券C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519078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汇添富增强收益债券A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009391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汇添富优质成长混合A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002418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汇添富优选回报混合C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79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470021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汇添富优选回报混合A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汇添富优势精选混合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002420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汇添富盈鑫混合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002959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汇添富盈泰混合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002419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汇添富盈安混合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000697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汇添富移动互联股票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470006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汇添富医药保健混合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001417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汇添富医疗服务混合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007060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汇添富养老2050五年持有混合（FOF）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007059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汇添富养老2040五年持有混合（FOF）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89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006763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汇添富养老2030三年持有混合（FOF）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008081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汇添富鑫远债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004470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汇添富鑫益定开债C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004469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汇添富鑫益定开债A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470030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汇添富鑫禧债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004090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汇添富鑫瑞债券C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004089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汇添富鑫瑞债券A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003533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汇添富鑫利定开债C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003532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汇添富鑫利定开债A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008398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汇添富鑫福债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99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001726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汇添富新兴消费股票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002164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汇添富新睿精选混合C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001816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汇添富新睿精选混合A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000083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汇添富消费行业混合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470888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汇添富香港优势精选混合(QDII)</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000330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汇添富现金宝货币A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002488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汇添富稳添利定期开放债券C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002487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汇添富稳添利定期开放债券A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009536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汇添富稳健增益一年持有混合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009736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汇添富稳健收益混合A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109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004424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汇添富文体娱乐混合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000925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汇添富外延增长主题股票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000980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汇添富添富通货币B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000366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汇添富添富通货币A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000692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汇添富双利债券C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470018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汇添富双利债券A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000407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汇添富双利增强债券C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000406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汇添富双利增强债券A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000123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汇添富实业债债券C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000122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汇添富实业债债券A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119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007948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汇添富盛安39个月定开债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汇添富深证300ETF联接</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470028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汇添富社会责任混合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470007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汇添富上证综合指数</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汇添富睿丰混合（LOF）C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501039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汇添富睿丰混合（LOF）A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001668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汇添富全球互联混合（QDII）</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000397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汇添富全额宝货币</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000222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汇添富年年利定期开放债券C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000221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汇添富年年利定期开放债券A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129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470098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汇添富逆向投资混合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007524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汇添富内需增长股票C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007523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汇添富内需增长股票A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001541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汇添富民营新动力股票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470009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汇添富民营活力混合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004271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汇添富民丰回报混合C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004270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汇添富民丰回报混合A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004420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汇添富美元债债券（QDII）人民币C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004419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汇添富美元债债券（QDII）人民币A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004422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汇添富美元债债券（QDII）美元现汇C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139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004421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汇添富美元债债券（QDII）美元现汇A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000173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汇添富美丽30混合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472007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汇添富利率债</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005503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汇添富理财60天债券E</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471060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汇添富理财60天债券B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470060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汇添富理财60天债券A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471014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汇添富理财14天债券B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470014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汇添富理财14天债券A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519066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汇添富蓝筹稳健混合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470059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汇添富可转换债券C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149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470058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汇添富可转换债券A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007356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汇添富科技创新混合C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007355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汇添富科技创新混合A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009551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汇添富开放视野中国优势六个月持有股票C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009550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汇添富开放视野中国优势六个月持有股票A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519018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汇添富均衡增长混合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008140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汇添富绝对收益定开混合C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000762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汇添富绝对收益定开混合A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008168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汇添富聚焦价值成长三个月混合FOF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501065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汇添富经典成长定开混合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159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519069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汇添富价值精选混合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164702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汇添富季季红定期开放债券</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519517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汇添富货币B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519518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汇添富货币A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164701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汇添富黄金及贵金属(QDII-LOF-FOF)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000696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汇添富环保行业股票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汇添富沪深300指数（LOF）C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汇添富沪深300指数（LOF）A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汇添富沪深300安中指数</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001685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汇添富沪港深新价值股票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汇添富弘安混合C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501041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汇添富弘安混合A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008169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汇添富核心优势三个月混合FOF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000600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汇添富和聚宝货币</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001490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汇添富国企创新股票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000175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汇添富高息债债券C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000174</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汇添富高息债债券A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001725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汇添富高端制造股票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470011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汇添富多元收益债券C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470010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汇添富多元收益债券A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179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002746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汇添富多策略定开混合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008993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汇添富多策略纯债A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008063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汇添富大盘核心资产混合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002165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汇添富达欣混合C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001801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汇添富达欣混合A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164703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汇添富纯债（LOF）</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519068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汇添富成长焦点混合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001050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汇添富成长多因子量化策略股票</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470008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汇添富策略回报混合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003189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汇添富保鑫混合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189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002158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汇添富安鑫智选混合C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001796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汇添富安鑫智选混合A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000396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汇添富安心中国债券C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000395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汇添富安心中国债券A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007458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汇添富90天短债C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007457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汇添富90天短债B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007456</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汇添富90天短债A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470089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汇添富6月红定期开放债券C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470088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汇添富6月红定期开放债券A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007639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汇添富3年封闭竞争优势混合</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199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000642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汇添富货币C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004831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添富鑫泽定开债A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004832</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添富鑫泽定开债C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202</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005410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添富鑫盛定开债A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203</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005411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添富鑫盛定开债C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204</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005590</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添富鑫永定开债A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205</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005591</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添富鑫永定开债C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206</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005857</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添富鑫成定开债A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207</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005858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添富鑫成定开债C</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208</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007868</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汇添富汇鑫货币A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209</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007869</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汇添富汇鑫货币B</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210</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501005</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汇添富中证精准医指数(LOF)A</w:t>
            </w:r>
          </w:p>
        </w:tc>
      </w:tr>
      <w:tr w:rsidR="006901AA"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211</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501063</w:t>
            </w:r>
          </w:p>
        </w:tc>
        <w:tc>
          <w:tcPr>
            <w:tcW w:w="29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01AA" w:rsidRPr="000065DD" w:rsidRDefault="006901AA"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添富悦享定开混合</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212</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005530</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汇添富沪深300指数增强A</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213</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010556</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汇添富沪深300指数增强C</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214</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006893</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0065DD" w:rsidRDefault="00B73004" w:rsidP="000065DD">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汇添富丰利短债A</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04" w:rsidRPr="000065DD" w:rsidRDefault="00B73004" w:rsidP="006901AA">
            <w:pPr>
              <w:widowControl/>
              <w:spacing w:line="240" w:lineRule="auto"/>
              <w:ind w:left="0" w:firstLine="0"/>
              <w:jc w:val="center"/>
              <w:rPr>
                <w:rFonts w:ascii="宋体" w:hAnsi="宋体" w:cs="宋体" w:hint="eastAsia"/>
                <w:color w:val="000000"/>
                <w:kern w:val="0"/>
                <w:sz w:val="22"/>
              </w:rPr>
            </w:pPr>
            <w:r w:rsidRPr="000065DD">
              <w:rPr>
                <w:rFonts w:ascii="宋体" w:hAnsi="宋体" w:cs="宋体" w:hint="eastAsia"/>
                <w:color w:val="000000"/>
                <w:kern w:val="0"/>
                <w:sz w:val="22"/>
              </w:rPr>
              <w:t>215</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011057</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汇添富丰利短债C</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0065DD" w:rsidRDefault="00B73004" w:rsidP="006901AA">
            <w:pPr>
              <w:widowControl/>
              <w:spacing w:line="240" w:lineRule="auto"/>
              <w:ind w:left="0" w:firstLine="0"/>
              <w:jc w:val="center"/>
              <w:rPr>
                <w:rFonts w:ascii="宋体" w:hAnsi="宋体" w:cs="宋体" w:hint="eastAsia"/>
                <w:color w:val="000000"/>
                <w:kern w:val="0"/>
                <w:sz w:val="22"/>
              </w:rPr>
            </w:pPr>
            <w:r>
              <w:rPr>
                <w:rFonts w:ascii="宋体" w:hAnsi="宋体" w:cs="宋体" w:hint="eastAsia"/>
                <w:color w:val="000000"/>
                <w:kern w:val="0"/>
                <w:sz w:val="22"/>
              </w:rPr>
              <w:t>216</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164705</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汇添富恒生指数（QDII-LOF）A</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Default="00B73004" w:rsidP="006901AA">
            <w:pPr>
              <w:widowControl/>
              <w:spacing w:line="240" w:lineRule="auto"/>
              <w:ind w:left="0" w:firstLine="0"/>
              <w:jc w:val="center"/>
              <w:rPr>
                <w:rFonts w:ascii="宋体" w:hAnsi="宋体" w:cs="宋体" w:hint="eastAsia"/>
                <w:color w:val="000000"/>
                <w:kern w:val="0"/>
                <w:sz w:val="22"/>
              </w:rPr>
            </w:pPr>
            <w:r>
              <w:rPr>
                <w:rFonts w:ascii="宋体" w:hAnsi="宋体" w:cs="宋体" w:hint="eastAsia"/>
                <w:color w:val="000000"/>
                <w:kern w:val="0"/>
                <w:sz w:val="22"/>
              </w:rPr>
              <w:t>217</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010789</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6901AA">
              <w:rPr>
                <w:rFonts w:ascii="宋体" w:hAnsi="宋体" w:cs="宋体" w:hint="eastAsia"/>
                <w:color w:val="000000"/>
                <w:kern w:val="0"/>
                <w:sz w:val="22"/>
              </w:rPr>
              <w:t>汇添富恒生指数（QDII-LOF）C</w:t>
            </w:r>
          </w:p>
        </w:tc>
      </w:tr>
      <w:tr w:rsidR="00B73004" w:rsidRPr="000065DD"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Default="00B73004" w:rsidP="006901AA">
            <w:pPr>
              <w:widowControl/>
              <w:spacing w:line="240" w:lineRule="auto"/>
              <w:ind w:left="0" w:firstLine="0"/>
              <w:jc w:val="center"/>
              <w:rPr>
                <w:rFonts w:ascii="宋体" w:hAnsi="宋体" w:cs="宋体" w:hint="eastAsia"/>
                <w:color w:val="000000"/>
                <w:kern w:val="0"/>
                <w:sz w:val="22"/>
              </w:rPr>
            </w:pPr>
            <w:r>
              <w:rPr>
                <w:rFonts w:ascii="宋体" w:hAnsi="宋体" w:cs="宋体" w:hint="eastAsia"/>
                <w:color w:val="000000"/>
                <w:kern w:val="0"/>
                <w:sz w:val="22"/>
              </w:rPr>
              <w:t>218</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009664</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6901AA" w:rsidRDefault="00B73004" w:rsidP="006901AA">
            <w:pPr>
              <w:widowControl/>
              <w:spacing w:line="240" w:lineRule="auto"/>
              <w:ind w:left="0" w:firstLine="0"/>
              <w:jc w:val="center"/>
              <w:rPr>
                <w:rFonts w:ascii="宋体" w:hAnsi="宋体" w:cs="宋体"/>
                <w:color w:val="000000"/>
                <w:kern w:val="0"/>
                <w:sz w:val="22"/>
              </w:rPr>
            </w:pPr>
            <w:r w:rsidRPr="00AE5B10">
              <w:rPr>
                <w:rFonts w:ascii="宋体" w:hAnsi="宋体" w:cs="宋体" w:hint="eastAsia"/>
                <w:color w:val="000000"/>
                <w:kern w:val="0"/>
                <w:sz w:val="22"/>
              </w:rPr>
              <w:t>汇添富医疗积极成长一年持有混合A</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color w:val="000000"/>
                <w:kern w:val="0"/>
                <w:sz w:val="22"/>
              </w:rPr>
            </w:pPr>
            <w:r>
              <w:rPr>
                <w:rFonts w:ascii="宋体" w:hAnsi="宋体" w:cs="宋体"/>
                <w:color w:val="000000"/>
                <w:kern w:val="0"/>
                <w:sz w:val="22"/>
              </w:rPr>
              <w:t>2</w:t>
            </w:r>
            <w:r w:rsidRPr="00AE5B10">
              <w:rPr>
                <w:rFonts w:ascii="宋体" w:hAnsi="宋体" w:cs="宋体" w:hint="eastAsia"/>
                <w:color w:val="000000"/>
                <w:kern w:val="0"/>
                <w:sz w:val="22"/>
              </w:rPr>
              <w:t>1</w:t>
            </w:r>
            <w:r>
              <w:rPr>
                <w:rFonts w:ascii="宋体" w:hAnsi="宋体" w:cs="宋体"/>
                <w:color w:val="000000"/>
                <w:kern w:val="0"/>
                <w:sz w:val="22"/>
              </w:rPr>
              <w:t>9</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009665</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汇添富医疗积极成长一年持有混合C</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w:t>
            </w:r>
            <w:r w:rsidRPr="00AE5B10">
              <w:rPr>
                <w:rFonts w:ascii="宋体" w:hAnsi="宋体" w:cs="宋体" w:hint="eastAsia"/>
                <w:color w:val="000000"/>
                <w:kern w:val="0"/>
                <w:sz w:val="22"/>
              </w:rPr>
              <w:t>2</w:t>
            </w:r>
            <w:r>
              <w:rPr>
                <w:rFonts w:ascii="宋体" w:hAnsi="宋体" w:cs="宋体"/>
                <w:color w:val="000000"/>
                <w:kern w:val="0"/>
                <w:sz w:val="22"/>
              </w:rPr>
              <w:t>0</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010045</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汇添富稳健添盈一年持有混合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221</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009683</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汇添富创新增长一年定开混合A</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222</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009684</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汇添富创新增长一年定开混合C</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223</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009715</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汇添富策略增长两年封闭混合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224</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506006</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汇添富科创板2年定开混合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225</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010298</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汇添富品牌驱动六个月持有混合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226</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6E3648" w:rsidP="00AE5B10">
            <w:pPr>
              <w:widowControl/>
              <w:spacing w:line="240" w:lineRule="auto"/>
              <w:ind w:left="0" w:firstLine="0"/>
              <w:jc w:val="center"/>
              <w:rPr>
                <w:rFonts w:ascii="宋体" w:hAnsi="宋体" w:cs="宋体" w:hint="eastAsia"/>
                <w:color w:val="000000"/>
                <w:kern w:val="0"/>
                <w:sz w:val="22"/>
              </w:rPr>
            </w:pPr>
            <w:r w:rsidRPr="002453F8">
              <w:rPr>
                <w:rFonts w:ascii="宋体" w:hAnsi="宋体" w:cs="宋体"/>
                <w:bCs/>
                <w:iCs/>
                <w:color w:val="000000"/>
                <w:szCs w:val="21"/>
              </w:rPr>
              <w:t>501206</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汇添富创新未来18个月封闭混合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227</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010557</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汇添富数字生活六个月持有混合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228</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010481</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AE5B10">
              <w:rPr>
                <w:rFonts w:ascii="宋体" w:hAnsi="宋体" w:cs="宋体" w:hint="eastAsia"/>
                <w:color w:val="000000"/>
                <w:kern w:val="0"/>
                <w:sz w:val="22"/>
              </w:rPr>
              <w:t>汇添富高质量成长精选2年持有混合</w:t>
            </w:r>
          </w:p>
        </w:tc>
      </w:tr>
      <w:tr w:rsidR="00B73004" w:rsidRPr="00AE5B10"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Pr>
                <w:rFonts w:ascii="宋体" w:hAnsi="宋体" w:cs="宋体"/>
                <w:color w:val="000000"/>
                <w:kern w:val="0"/>
                <w:sz w:val="22"/>
              </w:rPr>
              <w:t>229</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007902</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AE5B10" w:rsidRDefault="00B73004" w:rsidP="00AE5B10">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汇添富中短债C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color w:val="000000"/>
                <w:kern w:val="0"/>
                <w:sz w:val="22"/>
              </w:rPr>
            </w:pPr>
            <w:r w:rsidRPr="00323DD5">
              <w:rPr>
                <w:rFonts w:ascii="宋体" w:hAnsi="宋体" w:cs="宋体" w:hint="eastAsia"/>
                <w:color w:val="000000"/>
                <w:kern w:val="0"/>
                <w:sz w:val="22"/>
              </w:rPr>
              <w:t>230</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008025</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汇添富稳健增长混合A</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231</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008026</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汇添富稳健增长混合C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232</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008066</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汇添富中盘积极成长混合C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233</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008994</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汇添富多策略纯债C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234</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009392</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汇添富优质成长混合C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235</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009549</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汇添富中盘价值精选混合C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236</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009588</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汇添富现金宝货币B</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237</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009589</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汇添富现金宝货币C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238</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009737</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汇添富稳健收益混合C</w:t>
            </w:r>
          </w:p>
        </w:tc>
      </w:tr>
      <w:tr w:rsidR="00B73004" w:rsidRPr="00323DD5" w:rsidTr="00B73004">
        <w:trPr>
          <w:trHeight w:val="288"/>
          <w:jc w:val="center"/>
        </w:trPr>
        <w:tc>
          <w:tcPr>
            <w:tcW w:w="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239</w:t>
            </w:r>
          </w:p>
        </w:tc>
        <w:tc>
          <w:tcPr>
            <w:tcW w:w="1261"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010482</w:t>
            </w:r>
          </w:p>
        </w:tc>
        <w:tc>
          <w:tcPr>
            <w:tcW w:w="2963" w:type="pct"/>
            <w:tcBorders>
              <w:top w:val="single" w:sz="4" w:space="0" w:color="auto"/>
              <w:left w:val="single" w:sz="4" w:space="0" w:color="auto"/>
              <w:bottom w:val="single" w:sz="4" w:space="0" w:color="auto"/>
              <w:right w:val="single" w:sz="4" w:space="0" w:color="auto"/>
            </w:tcBorders>
            <w:shd w:val="clear" w:color="auto" w:fill="auto"/>
            <w:noWrap/>
          </w:tcPr>
          <w:p w:rsidR="00B73004" w:rsidRPr="00323DD5" w:rsidRDefault="00B73004" w:rsidP="00323DD5">
            <w:pPr>
              <w:widowControl/>
              <w:spacing w:line="240" w:lineRule="auto"/>
              <w:ind w:left="0" w:firstLine="0"/>
              <w:jc w:val="center"/>
              <w:rPr>
                <w:rFonts w:ascii="宋体" w:hAnsi="宋体" w:cs="宋体" w:hint="eastAsia"/>
                <w:color w:val="000000"/>
                <w:kern w:val="0"/>
                <w:sz w:val="22"/>
              </w:rPr>
            </w:pPr>
            <w:r w:rsidRPr="00323DD5">
              <w:rPr>
                <w:rFonts w:ascii="宋体" w:hAnsi="宋体" w:cs="宋体" w:hint="eastAsia"/>
                <w:color w:val="000000"/>
                <w:kern w:val="0"/>
                <w:sz w:val="22"/>
              </w:rPr>
              <w:t>汇添富盛和66个月定开债</w:t>
            </w:r>
          </w:p>
        </w:tc>
      </w:tr>
    </w:tbl>
    <w:p w:rsidR="00C0186F" w:rsidRPr="00323DD5" w:rsidRDefault="00C0186F" w:rsidP="00C0186F">
      <w:pPr>
        <w:ind w:left="0" w:firstLineChars="200" w:firstLine="480"/>
        <w:jc w:val="left"/>
        <w:rPr>
          <w:rFonts w:ascii="Times New Roman" w:hAnsi="Times New Roman" w:hint="eastAsia"/>
          <w:sz w:val="24"/>
          <w:szCs w:val="24"/>
        </w:rPr>
      </w:pPr>
    </w:p>
    <w:p w:rsidR="00084443" w:rsidRDefault="00084443" w:rsidP="00084443">
      <w:pPr>
        <w:ind w:left="0" w:firstLineChars="200" w:firstLine="480"/>
        <w:jc w:val="left"/>
        <w:rPr>
          <w:rFonts w:ascii="Times New Roman"/>
          <w:sz w:val="24"/>
          <w:szCs w:val="24"/>
        </w:rPr>
      </w:pPr>
      <w:r w:rsidRPr="00497E02">
        <w:rPr>
          <w:rFonts w:ascii="Times New Roman"/>
          <w:sz w:val="24"/>
          <w:szCs w:val="24"/>
        </w:rPr>
        <w:t>附件</w:t>
      </w:r>
      <w:r>
        <w:rPr>
          <w:rFonts w:ascii="Times New Roman"/>
          <w:sz w:val="24"/>
          <w:szCs w:val="24"/>
        </w:rPr>
        <w:t>2</w:t>
      </w:r>
      <w:r w:rsidRPr="00497E02">
        <w:rPr>
          <w:rFonts w:ascii="Times New Roman" w:hint="eastAsia"/>
          <w:sz w:val="24"/>
          <w:szCs w:val="24"/>
        </w:rPr>
        <w:t>：</w:t>
      </w:r>
      <w:r w:rsidRPr="00084443">
        <w:rPr>
          <w:rFonts w:ascii="Times New Roman" w:hint="eastAsia"/>
          <w:sz w:val="24"/>
          <w:szCs w:val="24"/>
        </w:rPr>
        <w:t>会员等级界定</w:t>
      </w:r>
      <w:r w:rsidR="002A7B97">
        <w:rPr>
          <w:rFonts w:ascii="Times New Roman" w:hint="eastAsia"/>
          <w:sz w:val="24"/>
          <w:szCs w:val="24"/>
        </w:rPr>
        <w:t>规则</w:t>
      </w:r>
      <w:r w:rsidRPr="00084443">
        <w:rPr>
          <w:rFonts w:ascii="Times New Roman" w:hint="eastAsia"/>
          <w:sz w:val="24"/>
          <w:szCs w:val="24"/>
        </w:rPr>
        <w:t>及其费率优惠方案</w:t>
      </w:r>
    </w:p>
    <w:tbl>
      <w:tblPr>
        <w:tblW w:w="4831" w:type="pct"/>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60" w:type="dxa"/>
          <w:bottom w:w="120" w:type="dxa"/>
          <w:right w:w="60" w:type="dxa"/>
        </w:tblCellMar>
        <w:tblLook w:val="04A0"/>
      </w:tblPr>
      <w:tblGrid>
        <w:gridCol w:w="993"/>
        <w:gridCol w:w="7656"/>
        <w:tblGridChange w:id="0">
          <w:tblGrid>
            <w:gridCol w:w="993"/>
            <w:gridCol w:w="7656"/>
          </w:tblGrid>
        </w:tblGridChange>
      </w:tblGrid>
      <w:tr w:rsidR="00682D5D" w:rsidRPr="00BF64A4" w:rsidTr="007F5A1F">
        <w:trPr>
          <w:trHeight w:val="20"/>
          <w:jc w:val="center"/>
        </w:trPr>
        <w:tc>
          <w:tcPr>
            <w:tcW w:w="574" w:type="pct"/>
            <w:shd w:val="clear" w:color="auto" w:fill="auto"/>
            <w:vAlign w:val="center"/>
          </w:tcPr>
          <w:p w:rsidR="00084443" w:rsidRPr="00D239CF" w:rsidRDefault="00084443" w:rsidP="007F5A1F">
            <w:pPr>
              <w:spacing w:line="240" w:lineRule="auto"/>
              <w:ind w:left="0" w:firstLine="0"/>
              <w:rPr>
                <w:rFonts w:ascii="宋体" w:hAnsi="宋体"/>
                <w:bCs/>
                <w:szCs w:val="21"/>
              </w:rPr>
            </w:pPr>
            <w:r w:rsidRPr="00D239CF">
              <w:rPr>
                <w:rFonts w:ascii="宋体" w:hAnsi="宋体" w:hint="eastAsia"/>
                <w:bCs/>
                <w:szCs w:val="21"/>
              </w:rPr>
              <w:t>会员等级</w:t>
            </w:r>
          </w:p>
        </w:tc>
        <w:tc>
          <w:tcPr>
            <w:tcW w:w="4426" w:type="pct"/>
            <w:shd w:val="clear" w:color="auto" w:fill="auto"/>
            <w:vAlign w:val="center"/>
          </w:tcPr>
          <w:p w:rsidR="00084443" w:rsidRPr="00D239CF" w:rsidRDefault="00084443" w:rsidP="007F5A1F">
            <w:pPr>
              <w:spacing w:line="240" w:lineRule="auto"/>
              <w:jc w:val="center"/>
              <w:rPr>
                <w:rFonts w:ascii="宋体" w:hAnsi="宋体"/>
                <w:bCs/>
                <w:szCs w:val="21"/>
              </w:rPr>
            </w:pPr>
            <w:r w:rsidRPr="00D239CF">
              <w:rPr>
                <w:rFonts w:ascii="宋体" w:hAnsi="宋体" w:hint="eastAsia"/>
                <w:bCs/>
                <w:szCs w:val="21"/>
              </w:rPr>
              <w:t>客户等级界定规则</w:t>
            </w:r>
          </w:p>
        </w:tc>
      </w:tr>
      <w:tr w:rsidR="00682D5D" w:rsidRPr="00BF64A4" w:rsidTr="007F5A1F">
        <w:trPr>
          <w:trHeight w:val="20"/>
          <w:jc w:val="center"/>
        </w:trPr>
        <w:tc>
          <w:tcPr>
            <w:tcW w:w="574" w:type="pct"/>
            <w:vMerge w:val="restart"/>
            <w:shd w:val="clear" w:color="auto" w:fill="auto"/>
            <w:vAlign w:val="center"/>
          </w:tcPr>
          <w:p w:rsidR="00084443" w:rsidRPr="00D239CF" w:rsidRDefault="00084443" w:rsidP="007F5A1F">
            <w:pPr>
              <w:spacing w:line="240" w:lineRule="auto"/>
              <w:ind w:left="0" w:firstLine="0"/>
              <w:jc w:val="center"/>
              <w:rPr>
                <w:rFonts w:ascii="宋体" w:hAnsi="宋体"/>
                <w:szCs w:val="21"/>
              </w:rPr>
            </w:pPr>
            <w:r w:rsidRPr="00D239CF">
              <w:rPr>
                <w:rFonts w:ascii="宋体" w:hAnsi="宋体"/>
                <w:szCs w:val="21"/>
              </w:rPr>
              <w:t>1</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hint="eastAsia"/>
                <w:szCs w:val="21"/>
              </w:rPr>
              <w:t>账户安全等级</w:t>
            </w:r>
            <w:r w:rsidRPr="00D239CF">
              <w:rPr>
                <w:rFonts w:ascii="宋体" w:hAnsi="宋体"/>
                <w:szCs w:val="21"/>
              </w:rPr>
              <w:t>3星以下</w:t>
            </w:r>
            <w:r w:rsidRPr="00D239CF">
              <w:rPr>
                <w:rFonts w:ascii="宋体" w:hAnsi="宋体"/>
                <w:color w:val="000000"/>
                <w:szCs w:val="21"/>
              </w:rPr>
              <w:t>(</w:t>
            </w:r>
            <w:r w:rsidRPr="00D239CF">
              <w:rPr>
                <w:rFonts w:ascii="宋体" w:hAnsi="宋体" w:hint="eastAsia"/>
                <w:color w:val="000000"/>
                <w:szCs w:val="21"/>
              </w:rPr>
              <w:t>不含</w:t>
            </w:r>
            <w:r w:rsidRPr="00D239CF">
              <w:rPr>
                <w:rFonts w:ascii="宋体" w:hAnsi="宋体"/>
                <w:color w:val="000000"/>
                <w:szCs w:val="21"/>
              </w:rPr>
              <w:t>3星)</w:t>
            </w:r>
            <w:r w:rsidRPr="00D239CF">
              <w:rPr>
                <w:rFonts w:ascii="宋体" w:hAnsi="宋体"/>
                <w:szCs w:val="21"/>
              </w:rPr>
              <w:t>的客户</w:t>
            </w:r>
          </w:p>
        </w:tc>
      </w:tr>
      <w:tr w:rsidR="00682D5D" w:rsidRPr="00BF64A4" w:rsidTr="007F5A1F">
        <w:trPr>
          <w:trHeight w:val="20"/>
          <w:jc w:val="center"/>
        </w:trPr>
        <w:tc>
          <w:tcPr>
            <w:tcW w:w="574" w:type="pct"/>
            <w:vMerge/>
            <w:shd w:val="clear" w:color="auto" w:fill="auto"/>
            <w:vAlign w:val="center"/>
          </w:tcPr>
          <w:p w:rsidR="00084443" w:rsidRPr="00D239CF" w:rsidRDefault="00084443" w:rsidP="007F5A1F">
            <w:pPr>
              <w:spacing w:line="240" w:lineRule="auto"/>
              <w:jc w:val="center"/>
              <w:rPr>
                <w:rFonts w:ascii="宋体" w:hAnsi="宋体"/>
                <w:szCs w:val="21"/>
              </w:rPr>
            </w:pP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szCs w:val="21"/>
              </w:rPr>
              <w:t>最近3年未登录</w:t>
            </w:r>
            <w:r w:rsidRPr="00D239CF">
              <w:rPr>
                <w:rFonts w:ascii="宋体" w:hAnsi="宋体" w:hint="eastAsia"/>
                <w:szCs w:val="21"/>
              </w:rPr>
              <w:t>现金宝</w:t>
            </w:r>
            <w:r w:rsidRPr="00D239CF">
              <w:rPr>
                <w:rFonts w:ascii="宋体" w:hAnsi="宋体"/>
                <w:szCs w:val="21"/>
              </w:rPr>
              <w:t>APP且</w:t>
            </w:r>
            <w:r w:rsidRPr="00D239CF">
              <w:rPr>
                <w:rFonts w:ascii="宋体" w:hAnsi="宋体" w:hint="eastAsia"/>
                <w:szCs w:val="21"/>
              </w:rPr>
              <w:t>已开立基金交易账户的</w:t>
            </w:r>
            <w:r w:rsidRPr="00D239CF">
              <w:rPr>
                <w:rFonts w:ascii="宋体" w:hAnsi="宋体"/>
                <w:szCs w:val="21"/>
              </w:rPr>
              <w:t>客户</w:t>
            </w:r>
          </w:p>
        </w:tc>
      </w:tr>
      <w:tr w:rsidR="00682D5D" w:rsidRPr="00BF64A4" w:rsidTr="007F5A1F">
        <w:trPr>
          <w:trHeight w:val="20"/>
          <w:jc w:val="center"/>
        </w:trPr>
        <w:tc>
          <w:tcPr>
            <w:tcW w:w="574" w:type="pct"/>
            <w:shd w:val="clear" w:color="auto" w:fill="auto"/>
            <w:vAlign w:val="center"/>
          </w:tcPr>
          <w:p w:rsidR="00084443" w:rsidRPr="00D239CF" w:rsidRDefault="00084443" w:rsidP="007F5A1F">
            <w:pPr>
              <w:spacing w:line="240" w:lineRule="auto"/>
              <w:ind w:left="0" w:firstLine="0"/>
              <w:jc w:val="center"/>
              <w:rPr>
                <w:rFonts w:ascii="宋体" w:hAnsi="宋体"/>
                <w:szCs w:val="21"/>
              </w:rPr>
            </w:pPr>
            <w:r w:rsidRPr="00D239CF">
              <w:rPr>
                <w:rFonts w:ascii="宋体" w:hAnsi="宋体"/>
                <w:szCs w:val="21"/>
              </w:rPr>
              <w:t>2</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szCs w:val="21"/>
              </w:rPr>
              <w:t>最近2年未登录</w:t>
            </w:r>
            <w:r w:rsidRPr="00D239CF">
              <w:rPr>
                <w:rFonts w:ascii="宋体" w:hAnsi="宋体" w:hint="eastAsia"/>
                <w:szCs w:val="21"/>
              </w:rPr>
              <w:t>现金宝</w:t>
            </w:r>
            <w:r w:rsidRPr="00D239CF">
              <w:rPr>
                <w:rFonts w:ascii="宋体" w:hAnsi="宋体"/>
                <w:szCs w:val="21"/>
              </w:rPr>
              <w:t>APP且</w:t>
            </w:r>
            <w:r w:rsidRPr="00D239CF">
              <w:rPr>
                <w:rFonts w:ascii="宋体" w:hAnsi="宋体" w:hint="eastAsia"/>
                <w:szCs w:val="21"/>
              </w:rPr>
              <w:t>已开立基金交易账户的</w:t>
            </w:r>
            <w:r w:rsidRPr="00D239CF">
              <w:rPr>
                <w:rFonts w:ascii="宋体" w:hAnsi="宋体"/>
                <w:szCs w:val="21"/>
              </w:rPr>
              <w:t>客户</w:t>
            </w:r>
          </w:p>
        </w:tc>
      </w:tr>
      <w:tr w:rsidR="00682D5D" w:rsidRPr="00BF64A4" w:rsidTr="007F5A1F">
        <w:trPr>
          <w:trHeight w:val="20"/>
          <w:jc w:val="center"/>
        </w:trPr>
        <w:tc>
          <w:tcPr>
            <w:tcW w:w="574" w:type="pct"/>
            <w:shd w:val="clear" w:color="auto" w:fill="auto"/>
            <w:vAlign w:val="center"/>
          </w:tcPr>
          <w:p w:rsidR="00084443" w:rsidRPr="00D239CF" w:rsidRDefault="00084443" w:rsidP="007F5A1F">
            <w:pPr>
              <w:spacing w:line="240" w:lineRule="auto"/>
              <w:ind w:left="0" w:firstLine="0"/>
              <w:jc w:val="center"/>
              <w:rPr>
                <w:rFonts w:ascii="宋体" w:hAnsi="宋体"/>
                <w:szCs w:val="21"/>
              </w:rPr>
            </w:pPr>
            <w:r w:rsidRPr="00D239CF">
              <w:rPr>
                <w:rFonts w:ascii="宋体" w:hAnsi="宋体"/>
                <w:szCs w:val="21"/>
              </w:rPr>
              <w:t>3</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szCs w:val="21"/>
              </w:rPr>
              <w:t>最近1年未登录</w:t>
            </w:r>
            <w:r w:rsidRPr="00D239CF">
              <w:rPr>
                <w:rFonts w:ascii="宋体" w:hAnsi="宋体" w:hint="eastAsia"/>
                <w:szCs w:val="21"/>
              </w:rPr>
              <w:t>现金宝</w:t>
            </w:r>
            <w:r w:rsidRPr="00D239CF">
              <w:rPr>
                <w:rFonts w:ascii="宋体" w:hAnsi="宋体"/>
                <w:szCs w:val="21"/>
              </w:rPr>
              <w:t>APP且</w:t>
            </w:r>
            <w:r w:rsidRPr="00D239CF">
              <w:rPr>
                <w:rFonts w:ascii="宋体" w:hAnsi="宋体" w:hint="eastAsia"/>
                <w:szCs w:val="21"/>
              </w:rPr>
              <w:t>已开立基金交易账户的</w:t>
            </w:r>
            <w:r w:rsidRPr="00D239CF">
              <w:rPr>
                <w:rFonts w:ascii="宋体" w:hAnsi="宋体"/>
                <w:szCs w:val="21"/>
              </w:rPr>
              <w:t>客户</w:t>
            </w:r>
          </w:p>
        </w:tc>
      </w:tr>
      <w:tr w:rsidR="00682D5D" w:rsidRPr="00BF64A4" w:rsidTr="007F5A1F">
        <w:trPr>
          <w:trHeight w:val="20"/>
          <w:jc w:val="center"/>
        </w:trPr>
        <w:tc>
          <w:tcPr>
            <w:tcW w:w="574" w:type="pct"/>
            <w:shd w:val="clear" w:color="auto" w:fill="auto"/>
            <w:vAlign w:val="center"/>
          </w:tcPr>
          <w:p w:rsidR="00084443" w:rsidRPr="00D239CF" w:rsidRDefault="00084443" w:rsidP="007F5A1F">
            <w:pPr>
              <w:spacing w:line="240" w:lineRule="auto"/>
              <w:ind w:left="0" w:firstLine="0"/>
              <w:jc w:val="center"/>
              <w:rPr>
                <w:rFonts w:ascii="宋体" w:hAnsi="宋体"/>
                <w:szCs w:val="21"/>
              </w:rPr>
            </w:pPr>
            <w:r w:rsidRPr="00D239CF">
              <w:rPr>
                <w:rFonts w:ascii="宋体" w:hAnsi="宋体"/>
                <w:szCs w:val="21"/>
              </w:rPr>
              <w:t>4</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szCs w:val="21"/>
              </w:rPr>
              <w:t>最近1年登录</w:t>
            </w:r>
            <w:r w:rsidRPr="00D239CF">
              <w:rPr>
                <w:rFonts w:ascii="宋体" w:hAnsi="宋体" w:hint="eastAsia"/>
                <w:szCs w:val="21"/>
              </w:rPr>
              <w:t>现金宝</w:t>
            </w:r>
            <w:r w:rsidRPr="00D239CF">
              <w:rPr>
                <w:rFonts w:ascii="宋体" w:hAnsi="宋体"/>
                <w:szCs w:val="21"/>
              </w:rPr>
              <w:t>APP1~3次（</w:t>
            </w:r>
            <w:r w:rsidRPr="00D239CF">
              <w:rPr>
                <w:rFonts w:ascii="宋体" w:hAnsi="宋体" w:hint="eastAsia"/>
                <w:szCs w:val="21"/>
              </w:rPr>
              <w:t>含</w:t>
            </w:r>
            <w:r w:rsidRPr="00D239CF">
              <w:rPr>
                <w:rFonts w:ascii="宋体" w:hAnsi="宋体"/>
                <w:szCs w:val="21"/>
              </w:rPr>
              <w:t>3次</w:t>
            </w:r>
            <w:r w:rsidRPr="00D239CF">
              <w:rPr>
                <w:rFonts w:ascii="宋体" w:hAnsi="宋体" w:hint="eastAsia"/>
                <w:szCs w:val="21"/>
              </w:rPr>
              <w:t>）</w:t>
            </w:r>
            <w:r w:rsidRPr="00D239CF">
              <w:rPr>
                <w:rFonts w:ascii="宋体" w:hAnsi="宋体"/>
                <w:szCs w:val="21"/>
              </w:rPr>
              <w:t>且</w:t>
            </w:r>
            <w:r w:rsidRPr="00D239CF">
              <w:rPr>
                <w:rFonts w:ascii="宋体" w:hAnsi="宋体" w:hint="eastAsia"/>
                <w:szCs w:val="21"/>
              </w:rPr>
              <w:t>已开立基金交易账户的</w:t>
            </w:r>
            <w:r w:rsidRPr="00D239CF">
              <w:rPr>
                <w:rFonts w:ascii="宋体" w:hAnsi="宋体"/>
                <w:szCs w:val="21"/>
              </w:rPr>
              <w:t>客户</w:t>
            </w:r>
          </w:p>
        </w:tc>
      </w:tr>
      <w:tr w:rsidR="00682D5D" w:rsidRPr="00BF64A4" w:rsidTr="007F5A1F">
        <w:trPr>
          <w:trHeight w:val="20"/>
          <w:jc w:val="center"/>
        </w:trPr>
        <w:tc>
          <w:tcPr>
            <w:tcW w:w="574" w:type="pct"/>
            <w:vMerge w:val="restart"/>
            <w:shd w:val="clear" w:color="auto" w:fill="auto"/>
            <w:vAlign w:val="center"/>
          </w:tcPr>
          <w:p w:rsidR="00084443" w:rsidRPr="00D239CF" w:rsidRDefault="00084443" w:rsidP="007F5A1F">
            <w:pPr>
              <w:spacing w:line="240" w:lineRule="auto"/>
              <w:ind w:left="0" w:firstLine="0"/>
              <w:jc w:val="center"/>
              <w:rPr>
                <w:rFonts w:ascii="宋体" w:hAnsi="宋体"/>
                <w:color w:val="000000"/>
                <w:szCs w:val="21"/>
              </w:rPr>
            </w:pPr>
            <w:r w:rsidRPr="00D239CF">
              <w:rPr>
                <w:rFonts w:ascii="宋体" w:hAnsi="宋体"/>
                <w:color w:val="000000"/>
                <w:szCs w:val="21"/>
              </w:rPr>
              <w:t>5</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color w:val="000000"/>
                <w:szCs w:val="21"/>
              </w:rPr>
            </w:pPr>
            <w:r w:rsidRPr="00D239CF">
              <w:rPr>
                <w:rFonts w:ascii="宋体" w:hAnsi="宋体"/>
                <w:color w:val="000000"/>
                <w:szCs w:val="21"/>
              </w:rPr>
              <w:t>最近1年登录</w:t>
            </w:r>
            <w:r w:rsidRPr="00D239CF">
              <w:rPr>
                <w:rFonts w:ascii="宋体" w:hAnsi="宋体" w:hint="eastAsia"/>
                <w:color w:val="000000"/>
                <w:szCs w:val="21"/>
              </w:rPr>
              <w:t>现金宝</w:t>
            </w:r>
            <w:r w:rsidRPr="00D239CF">
              <w:rPr>
                <w:rFonts w:ascii="宋体" w:hAnsi="宋体"/>
                <w:color w:val="000000"/>
                <w:szCs w:val="21"/>
              </w:rPr>
              <w:t>APP大于3次（</w:t>
            </w:r>
            <w:r w:rsidRPr="00D239CF">
              <w:rPr>
                <w:rFonts w:ascii="宋体" w:hAnsi="宋体" w:hint="eastAsia"/>
                <w:color w:val="000000"/>
                <w:szCs w:val="21"/>
              </w:rPr>
              <w:t>不含</w:t>
            </w:r>
            <w:r w:rsidRPr="00D239CF">
              <w:rPr>
                <w:rFonts w:ascii="宋体" w:hAnsi="宋体"/>
                <w:color w:val="000000"/>
                <w:szCs w:val="21"/>
              </w:rPr>
              <w:t>3次</w:t>
            </w:r>
            <w:r w:rsidRPr="00D239CF">
              <w:rPr>
                <w:rFonts w:ascii="宋体" w:hAnsi="宋体" w:hint="eastAsia"/>
                <w:color w:val="000000"/>
                <w:szCs w:val="21"/>
              </w:rPr>
              <w:t>）</w:t>
            </w:r>
            <w:r w:rsidRPr="00D239CF">
              <w:rPr>
                <w:rFonts w:ascii="宋体" w:hAnsi="宋体"/>
                <w:color w:val="000000"/>
                <w:szCs w:val="21"/>
              </w:rPr>
              <w:t>且</w:t>
            </w:r>
            <w:r w:rsidRPr="00D239CF">
              <w:rPr>
                <w:rFonts w:ascii="宋体" w:hAnsi="宋体" w:hint="eastAsia"/>
                <w:color w:val="000000"/>
                <w:szCs w:val="21"/>
              </w:rPr>
              <w:t>已开立基金交易账户的</w:t>
            </w:r>
            <w:r w:rsidRPr="00D239CF">
              <w:rPr>
                <w:rFonts w:ascii="宋体" w:hAnsi="宋体"/>
                <w:color w:val="000000"/>
                <w:szCs w:val="21"/>
              </w:rPr>
              <w:t>客户</w:t>
            </w:r>
          </w:p>
        </w:tc>
      </w:tr>
      <w:tr w:rsidR="00682D5D" w:rsidRPr="00BF64A4" w:rsidTr="007F5A1F">
        <w:trPr>
          <w:trHeight w:val="20"/>
          <w:jc w:val="center"/>
        </w:trPr>
        <w:tc>
          <w:tcPr>
            <w:tcW w:w="574" w:type="pct"/>
            <w:vMerge/>
            <w:shd w:val="clear" w:color="auto" w:fill="auto"/>
            <w:vAlign w:val="center"/>
          </w:tcPr>
          <w:p w:rsidR="00084443" w:rsidRPr="00D239CF" w:rsidRDefault="00084443" w:rsidP="007F5A1F">
            <w:pPr>
              <w:spacing w:line="240" w:lineRule="auto"/>
              <w:jc w:val="center"/>
              <w:rPr>
                <w:rFonts w:ascii="宋体" w:hAnsi="宋体"/>
                <w:color w:val="000000"/>
                <w:szCs w:val="21"/>
              </w:rPr>
            </w:pP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color w:val="000000"/>
                <w:szCs w:val="21"/>
              </w:rPr>
            </w:pPr>
            <w:r w:rsidRPr="00D239CF">
              <w:rPr>
                <w:rFonts w:ascii="宋体" w:hAnsi="宋体" w:hint="eastAsia"/>
                <w:color w:val="000000"/>
                <w:szCs w:val="21"/>
              </w:rPr>
              <w:t>本方案执行期间，当年在线上直销系统注册并开立基金账户</w:t>
            </w:r>
            <w:r w:rsidRPr="00D239CF">
              <w:rPr>
                <w:rFonts w:ascii="宋体" w:hAnsi="宋体"/>
                <w:color w:val="000000"/>
                <w:szCs w:val="21"/>
              </w:rPr>
              <w:t>的</w:t>
            </w:r>
            <w:r w:rsidRPr="00D239CF">
              <w:rPr>
                <w:rFonts w:ascii="宋体" w:hAnsi="宋体" w:hint="eastAsia"/>
                <w:color w:val="000000"/>
                <w:szCs w:val="21"/>
              </w:rPr>
              <w:t>新</w:t>
            </w:r>
            <w:r w:rsidRPr="00D239CF">
              <w:rPr>
                <w:rFonts w:ascii="宋体" w:hAnsi="宋体"/>
                <w:color w:val="000000"/>
                <w:szCs w:val="21"/>
              </w:rPr>
              <w:t>客户</w:t>
            </w:r>
          </w:p>
        </w:tc>
      </w:tr>
      <w:tr w:rsidR="00682D5D" w:rsidRPr="00BF64A4" w:rsidTr="007F5A1F">
        <w:trPr>
          <w:trHeight w:val="20"/>
          <w:jc w:val="center"/>
        </w:trPr>
        <w:tc>
          <w:tcPr>
            <w:tcW w:w="574" w:type="pct"/>
            <w:vMerge/>
            <w:shd w:val="clear" w:color="auto" w:fill="auto"/>
            <w:vAlign w:val="center"/>
          </w:tcPr>
          <w:p w:rsidR="00084443" w:rsidRPr="00D239CF" w:rsidRDefault="00084443" w:rsidP="007F5A1F">
            <w:pPr>
              <w:spacing w:line="240" w:lineRule="auto"/>
              <w:jc w:val="center"/>
              <w:rPr>
                <w:rFonts w:ascii="宋体" w:hAnsi="宋体"/>
                <w:szCs w:val="21"/>
              </w:rPr>
            </w:pPr>
          </w:p>
        </w:tc>
        <w:tc>
          <w:tcPr>
            <w:tcW w:w="4426" w:type="pct"/>
            <w:shd w:val="clear" w:color="auto" w:fill="auto"/>
            <w:vAlign w:val="center"/>
          </w:tcPr>
          <w:p w:rsidR="00084443" w:rsidRPr="00D239CF" w:rsidRDefault="00084443" w:rsidP="007F5A1F">
            <w:pPr>
              <w:widowControl/>
              <w:spacing w:line="240" w:lineRule="auto"/>
              <w:ind w:left="0" w:firstLine="0"/>
              <w:rPr>
                <w:rFonts w:cs="Calibri"/>
                <w:color w:val="1F497D"/>
              </w:rPr>
            </w:pPr>
            <w:r w:rsidRPr="00D239CF">
              <w:rPr>
                <w:rFonts w:ascii="宋体" w:hAnsi="宋体"/>
                <w:szCs w:val="21"/>
              </w:rPr>
              <w:t>最近1年</w:t>
            </w:r>
            <w:r w:rsidRPr="00D239CF">
              <w:rPr>
                <w:rFonts w:ascii="宋体" w:hAnsi="宋体" w:hint="eastAsia"/>
                <w:szCs w:val="21"/>
              </w:rPr>
              <w:t>在线上直销系统</w:t>
            </w:r>
            <w:r w:rsidRPr="00D239CF">
              <w:rPr>
                <w:rFonts w:ascii="宋体" w:hAnsi="宋体"/>
                <w:szCs w:val="21"/>
              </w:rPr>
              <w:t>有交易记录的客户（</w:t>
            </w:r>
            <w:r w:rsidRPr="00D239CF">
              <w:rPr>
                <w:rFonts w:ascii="宋体" w:hAnsi="宋体" w:hint="eastAsia"/>
                <w:szCs w:val="21"/>
              </w:rPr>
              <w:t>注：交易包括</w:t>
            </w:r>
            <w:r w:rsidRPr="00D239CF">
              <w:rPr>
                <w:rFonts w:ascii="宋体" w:hAnsi="宋体" w:hint="eastAsia"/>
              </w:rPr>
              <w:t>认购、申购、赎回、转换、定投等）</w:t>
            </w:r>
          </w:p>
        </w:tc>
      </w:tr>
      <w:tr w:rsidR="00682D5D" w:rsidRPr="00BF64A4" w:rsidTr="007F5A1F">
        <w:trPr>
          <w:trHeight w:val="20"/>
          <w:jc w:val="center"/>
        </w:trPr>
        <w:tc>
          <w:tcPr>
            <w:tcW w:w="574" w:type="pct"/>
            <w:vMerge/>
            <w:shd w:val="clear" w:color="auto" w:fill="auto"/>
            <w:vAlign w:val="center"/>
          </w:tcPr>
          <w:p w:rsidR="00084443" w:rsidRPr="00D239CF" w:rsidRDefault="00084443" w:rsidP="007F5A1F">
            <w:pPr>
              <w:spacing w:line="240" w:lineRule="auto"/>
              <w:jc w:val="center"/>
              <w:rPr>
                <w:rFonts w:ascii="宋体" w:hAnsi="宋体"/>
                <w:szCs w:val="21"/>
              </w:rPr>
            </w:pP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hint="eastAsia"/>
                <w:szCs w:val="21"/>
              </w:rPr>
              <w:t>在线上直销系统</w:t>
            </w:r>
            <w:r w:rsidRPr="00D239CF">
              <w:rPr>
                <w:rFonts w:ascii="宋体" w:hAnsi="宋体"/>
                <w:szCs w:val="21"/>
              </w:rPr>
              <w:t>30</w:t>
            </w:r>
            <w:r w:rsidRPr="00D239CF">
              <w:rPr>
                <w:rFonts w:ascii="宋体" w:hAnsi="宋体" w:hint="eastAsia"/>
                <w:szCs w:val="21"/>
              </w:rPr>
              <w:t>个自然日</w:t>
            </w:r>
            <w:r w:rsidRPr="00D239CF">
              <w:rPr>
                <w:rFonts w:ascii="宋体" w:hAnsi="宋体"/>
                <w:szCs w:val="21"/>
              </w:rPr>
              <w:t>日均资产大于0元</w:t>
            </w:r>
            <w:r w:rsidRPr="00D239CF">
              <w:rPr>
                <w:rFonts w:ascii="宋体" w:hAnsi="宋体" w:hint="eastAsia"/>
                <w:szCs w:val="21"/>
              </w:rPr>
              <w:t>人民币</w:t>
            </w:r>
            <w:r w:rsidRPr="00D239CF">
              <w:rPr>
                <w:rFonts w:ascii="宋体" w:hAnsi="宋体"/>
                <w:szCs w:val="21"/>
              </w:rPr>
              <w:t>的客户</w:t>
            </w:r>
          </w:p>
        </w:tc>
      </w:tr>
      <w:tr w:rsidR="00682D5D" w:rsidRPr="00BF64A4" w:rsidTr="007F5A1F">
        <w:trPr>
          <w:trHeight w:val="20"/>
          <w:jc w:val="center"/>
        </w:trPr>
        <w:tc>
          <w:tcPr>
            <w:tcW w:w="574" w:type="pct"/>
            <w:vMerge w:val="restart"/>
            <w:shd w:val="clear" w:color="auto" w:fill="auto"/>
            <w:vAlign w:val="center"/>
          </w:tcPr>
          <w:p w:rsidR="00084443" w:rsidRPr="00D239CF" w:rsidRDefault="00084443" w:rsidP="007F5A1F">
            <w:pPr>
              <w:spacing w:line="240" w:lineRule="auto"/>
              <w:ind w:left="0" w:firstLine="0"/>
              <w:jc w:val="center"/>
              <w:rPr>
                <w:rFonts w:ascii="宋体" w:hAnsi="宋体"/>
                <w:szCs w:val="21"/>
              </w:rPr>
            </w:pPr>
            <w:r w:rsidRPr="00D239CF">
              <w:rPr>
                <w:rFonts w:ascii="宋体" w:hAnsi="宋体"/>
                <w:szCs w:val="21"/>
              </w:rPr>
              <w:t>6</w:t>
            </w:r>
          </w:p>
        </w:tc>
        <w:tc>
          <w:tcPr>
            <w:tcW w:w="4426" w:type="pct"/>
            <w:shd w:val="clear" w:color="auto" w:fill="auto"/>
            <w:vAlign w:val="center"/>
          </w:tcPr>
          <w:p w:rsidR="00084443" w:rsidRPr="00D239CF" w:rsidRDefault="00084443" w:rsidP="007F5A1F">
            <w:pPr>
              <w:spacing w:line="240" w:lineRule="auto"/>
              <w:ind w:left="0" w:firstLine="0"/>
              <w:jc w:val="left"/>
              <w:rPr>
                <w:rFonts w:ascii="宋体" w:hAnsi="宋体"/>
                <w:szCs w:val="21"/>
              </w:rPr>
            </w:pPr>
            <w:r w:rsidRPr="00D239CF">
              <w:rPr>
                <w:rFonts w:ascii="宋体" w:hAnsi="宋体" w:hint="eastAsia"/>
                <w:szCs w:val="21"/>
              </w:rPr>
              <w:t>在线上直销系统</w:t>
            </w:r>
            <w:r w:rsidRPr="00D239CF">
              <w:rPr>
                <w:rFonts w:ascii="宋体" w:hAnsi="宋体"/>
                <w:szCs w:val="21"/>
              </w:rPr>
              <w:t>30</w:t>
            </w:r>
            <w:r w:rsidRPr="00D239CF">
              <w:rPr>
                <w:rFonts w:ascii="宋体" w:hAnsi="宋体" w:hint="eastAsia"/>
                <w:szCs w:val="21"/>
              </w:rPr>
              <w:t>个自然日</w:t>
            </w:r>
            <w:r w:rsidRPr="00D239CF">
              <w:rPr>
                <w:rFonts w:ascii="宋体" w:hAnsi="宋体"/>
                <w:szCs w:val="21"/>
              </w:rPr>
              <w:t>日均资产大于5</w:t>
            </w:r>
            <w:r w:rsidRPr="00D239CF">
              <w:rPr>
                <w:rFonts w:ascii="宋体" w:hAnsi="宋体" w:hint="eastAsia"/>
                <w:szCs w:val="21"/>
              </w:rPr>
              <w:t>万元人民币（含5万）</w:t>
            </w:r>
            <w:r w:rsidRPr="00D239CF">
              <w:rPr>
                <w:rFonts w:ascii="宋体" w:hAnsi="宋体"/>
                <w:szCs w:val="21"/>
              </w:rPr>
              <w:t>的客户</w:t>
            </w:r>
          </w:p>
        </w:tc>
      </w:tr>
      <w:tr w:rsidR="00682D5D" w:rsidRPr="00BF64A4" w:rsidTr="007F5A1F">
        <w:trPr>
          <w:trHeight w:val="20"/>
          <w:jc w:val="center"/>
        </w:trPr>
        <w:tc>
          <w:tcPr>
            <w:tcW w:w="574" w:type="pct"/>
            <w:vMerge/>
            <w:shd w:val="clear" w:color="auto" w:fill="auto"/>
            <w:vAlign w:val="center"/>
          </w:tcPr>
          <w:p w:rsidR="00084443" w:rsidRPr="007F5A1F" w:rsidRDefault="00084443" w:rsidP="007F5A1F">
            <w:pPr>
              <w:spacing w:line="240" w:lineRule="auto"/>
              <w:jc w:val="center"/>
              <w:rPr>
                <w:rFonts w:ascii="宋体" w:hAnsi="宋体"/>
                <w:b/>
                <w:szCs w:val="21"/>
              </w:rPr>
            </w:pPr>
          </w:p>
        </w:tc>
        <w:tc>
          <w:tcPr>
            <w:tcW w:w="4426" w:type="pct"/>
            <w:shd w:val="clear" w:color="auto" w:fill="auto"/>
            <w:vAlign w:val="center"/>
          </w:tcPr>
          <w:p w:rsidR="00084443" w:rsidRPr="007F5A1F" w:rsidRDefault="00084443" w:rsidP="007F5A1F">
            <w:pPr>
              <w:spacing w:line="240" w:lineRule="auto"/>
              <w:ind w:left="0" w:firstLine="0"/>
              <w:jc w:val="left"/>
              <w:rPr>
                <w:rFonts w:ascii="宋体" w:hAnsi="宋体"/>
                <w:szCs w:val="21"/>
              </w:rPr>
            </w:pPr>
            <w:r w:rsidRPr="007F5A1F">
              <w:rPr>
                <w:rFonts w:ascii="宋体" w:hAnsi="宋体" w:hint="eastAsia"/>
                <w:szCs w:val="21"/>
              </w:rPr>
              <w:t>在线上直销系统</w:t>
            </w:r>
            <w:r w:rsidRPr="007F5A1F">
              <w:rPr>
                <w:rFonts w:ascii="宋体" w:hAnsi="宋体"/>
                <w:szCs w:val="21"/>
              </w:rPr>
              <w:t>30</w:t>
            </w:r>
            <w:r w:rsidRPr="007F5A1F">
              <w:rPr>
                <w:rFonts w:ascii="宋体" w:hAnsi="宋体" w:hint="eastAsia"/>
                <w:szCs w:val="21"/>
              </w:rPr>
              <w:t>个自然日</w:t>
            </w:r>
            <w:r w:rsidRPr="007F5A1F">
              <w:rPr>
                <w:rFonts w:ascii="宋体" w:hAnsi="宋体"/>
                <w:szCs w:val="21"/>
              </w:rPr>
              <w:t>均资产大于50</w:t>
            </w:r>
            <w:r w:rsidRPr="007F5A1F">
              <w:rPr>
                <w:rFonts w:ascii="宋体" w:hAnsi="宋体" w:hint="eastAsia"/>
                <w:szCs w:val="21"/>
              </w:rPr>
              <w:t>万元人民币（含50万）</w:t>
            </w:r>
            <w:r w:rsidRPr="007F5A1F">
              <w:rPr>
                <w:rFonts w:ascii="宋体" w:hAnsi="宋体"/>
                <w:szCs w:val="21"/>
              </w:rPr>
              <w:t>的客户</w:t>
            </w:r>
          </w:p>
        </w:tc>
      </w:tr>
    </w:tbl>
    <w:p w:rsidR="00682D5D" w:rsidRDefault="00682D5D" w:rsidP="00682D5D">
      <w:pPr>
        <w:rPr>
          <w:rFonts w:ascii="宋体" w:hAnsi="宋体"/>
          <w:szCs w:val="21"/>
        </w:rPr>
      </w:pPr>
    </w:p>
    <w:tbl>
      <w:tblPr>
        <w:tblW w:w="4870" w:type="pct"/>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60" w:type="dxa"/>
          <w:bottom w:w="120" w:type="dxa"/>
          <w:right w:w="60" w:type="dxa"/>
        </w:tblCellMar>
        <w:tblLook w:val="04A0"/>
      </w:tblPr>
      <w:tblGrid>
        <w:gridCol w:w="2090"/>
        <w:gridCol w:w="986"/>
        <w:gridCol w:w="1131"/>
        <w:gridCol w:w="1129"/>
        <w:gridCol w:w="1129"/>
        <w:gridCol w:w="1128"/>
        <w:gridCol w:w="1126"/>
        <w:tblGridChange w:id="1">
          <w:tblGrid>
            <w:gridCol w:w="2090"/>
            <w:gridCol w:w="986"/>
            <w:gridCol w:w="1131"/>
            <w:gridCol w:w="1129"/>
            <w:gridCol w:w="1129"/>
            <w:gridCol w:w="1128"/>
            <w:gridCol w:w="1126"/>
          </w:tblGrid>
        </w:tblGridChange>
      </w:tblGrid>
      <w:tr w:rsidR="00682D5D" w:rsidRPr="00D239CF" w:rsidTr="007F5A1F">
        <w:trPr>
          <w:trHeight w:val="20"/>
          <w:jc w:val="center"/>
        </w:trPr>
        <w:tc>
          <w:tcPr>
            <w:tcW w:w="1198" w:type="pct"/>
            <w:shd w:val="clear" w:color="auto" w:fill="auto"/>
            <w:vAlign w:val="center"/>
          </w:tcPr>
          <w:p w:rsidR="00682D5D" w:rsidRPr="00D239CF" w:rsidRDefault="00682D5D" w:rsidP="007F5A1F">
            <w:pPr>
              <w:ind w:leftChars="200" w:left="420" w:firstLineChars="300" w:firstLine="630"/>
              <w:jc w:val="left"/>
              <w:rPr>
                <w:rFonts w:ascii="宋体" w:hAnsi="宋体"/>
                <w:bCs/>
                <w:szCs w:val="21"/>
              </w:rPr>
            </w:pPr>
            <w:r>
              <w:rPr>
                <w:noProof/>
              </w:rPr>
              <w:pict>
                <v:line id="直接连接符 1" o:spid="_x0000_s1027" style="position:absolute;left:0;text-align:left;z-index:251657728;visibility:visible;mso-width-relative:margin;mso-height-relative:margin" from="-4.05pt,-5.95pt" to="100.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" strokeweight=".5pt">
                  <v:stroke joinstyle="miter"/>
                </v:line>
              </w:pict>
            </w:r>
            <w:r w:rsidRPr="00D239CF">
              <w:rPr>
                <w:rFonts w:ascii="宋体" w:hAnsi="宋体" w:hint="eastAsia"/>
                <w:bCs/>
                <w:szCs w:val="21"/>
              </w:rPr>
              <w:t>会员等级</w:t>
            </w:r>
          </w:p>
          <w:p w:rsidR="00682D5D" w:rsidRPr="00D239CF" w:rsidRDefault="00682D5D" w:rsidP="007F5A1F">
            <w:pPr>
              <w:ind w:left="0" w:firstLine="0"/>
              <w:jc w:val="left"/>
              <w:rPr>
                <w:rFonts w:ascii="宋体" w:hAnsi="宋体"/>
                <w:bCs/>
                <w:szCs w:val="21"/>
              </w:rPr>
            </w:pPr>
            <w:r w:rsidRPr="00D239CF">
              <w:rPr>
                <w:rFonts w:ascii="宋体" w:hAnsi="宋体" w:hint="eastAsia"/>
                <w:bCs/>
                <w:szCs w:val="21"/>
              </w:rPr>
              <w:t>费率优惠方案</w:t>
            </w:r>
          </w:p>
        </w:tc>
        <w:tc>
          <w:tcPr>
            <w:tcW w:w="565"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1</w:t>
            </w:r>
          </w:p>
        </w:tc>
        <w:tc>
          <w:tcPr>
            <w:tcW w:w="648"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2</w:t>
            </w:r>
          </w:p>
        </w:tc>
        <w:tc>
          <w:tcPr>
            <w:tcW w:w="647"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3</w:t>
            </w:r>
          </w:p>
        </w:tc>
        <w:tc>
          <w:tcPr>
            <w:tcW w:w="647"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4</w:t>
            </w:r>
          </w:p>
        </w:tc>
        <w:tc>
          <w:tcPr>
            <w:tcW w:w="647"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5</w:t>
            </w:r>
          </w:p>
        </w:tc>
        <w:tc>
          <w:tcPr>
            <w:tcW w:w="646"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6</w:t>
            </w:r>
          </w:p>
        </w:tc>
      </w:tr>
      <w:tr w:rsidR="00682D5D" w:rsidRPr="00D239CF" w:rsidTr="007F5A1F">
        <w:trPr>
          <w:trHeight w:val="20"/>
          <w:jc w:val="center"/>
        </w:trPr>
        <w:tc>
          <w:tcPr>
            <w:tcW w:w="1198"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8折</w:t>
            </w:r>
            <w:r w:rsidRPr="00D239CF">
              <w:rPr>
                <w:rFonts w:ascii="宋体" w:hAnsi="宋体" w:hint="eastAsia"/>
                <w:bCs/>
                <w:szCs w:val="21"/>
              </w:rPr>
              <w:t>优惠</w:t>
            </w:r>
          </w:p>
        </w:tc>
        <w:tc>
          <w:tcPr>
            <w:tcW w:w="565" w:type="pct"/>
            <w:shd w:val="clear" w:color="auto" w:fill="auto"/>
            <w:vAlign w:val="center"/>
          </w:tcPr>
          <w:p w:rsidR="00682D5D" w:rsidRPr="00D239CF" w:rsidRDefault="00682D5D" w:rsidP="007F5A1F">
            <w:pPr>
              <w:jc w:val="center"/>
              <w:rPr>
                <w:rFonts w:ascii="宋体" w:hAnsi="宋体"/>
                <w:szCs w:val="21"/>
              </w:rPr>
            </w:pPr>
          </w:p>
        </w:tc>
        <w:tc>
          <w:tcPr>
            <w:tcW w:w="648" w:type="pct"/>
            <w:shd w:val="clear" w:color="auto" w:fill="auto"/>
            <w:vAlign w:val="center"/>
          </w:tcPr>
          <w:p w:rsidR="00682D5D" w:rsidRPr="00D239CF" w:rsidRDefault="00682D5D" w:rsidP="007F5A1F">
            <w:pPr>
              <w:ind w:left="0" w:firstLine="0"/>
              <w:jc w:val="center"/>
              <w:rPr>
                <w:rFonts w:ascii="宋体" w:hAnsi="宋体"/>
                <w:szCs w:val="21"/>
              </w:rPr>
            </w:pPr>
            <w:r w:rsidRPr="00D239CF">
              <w:rPr>
                <w:rFonts w:ascii="宋体" w:hAnsi="宋体"/>
                <w:szCs w:val="21"/>
              </w:rPr>
              <w:t>√</w:t>
            </w: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6" w:type="pct"/>
            <w:shd w:val="clear" w:color="auto" w:fill="auto"/>
            <w:vAlign w:val="center"/>
          </w:tcPr>
          <w:p w:rsidR="00682D5D" w:rsidRPr="00D239CF" w:rsidRDefault="00682D5D" w:rsidP="007F5A1F">
            <w:pPr>
              <w:jc w:val="center"/>
              <w:rPr>
                <w:rFonts w:ascii="宋体" w:hAnsi="宋体"/>
                <w:szCs w:val="21"/>
              </w:rPr>
            </w:pPr>
          </w:p>
        </w:tc>
      </w:tr>
      <w:tr w:rsidR="00682D5D" w:rsidRPr="00D239CF" w:rsidTr="007F5A1F">
        <w:trPr>
          <w:trHeight w:val="20"/>
          <w:jc w:val="center"/>
        </w:trPr>
        <w:tc>
          <w:tcPr>
            <w:tcW w:w="1198"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5折</w:t>
            </w:r>
            <w:r w:rsidRPr="00D239CF">
              <w:rPr>
                <w:rFonts w:ascii="宋体" w:hAnsi="宋体" w:hint="eastAsia"/>
                <w:bCs/>
                <w:szCs w:val="21"/>
              </w:rPr>
              <w:t>优惠</w:t>
            </w:r>
          </w:p>
        </w:tc>
        <w:tc>
          <w:tcPr>
            <w:tcW w:w="565" w:type="pct"/>
            <w:shd w:val="clear" w:color="auto" w:fill="auto"/>
            <w:vAlign w:val="center"/>
          </w:tcPr>
          <w:p w:rsidR="00682D5D" w:rsidRPr="00D239CF" w:rsidRDefault="00682D5D" w:rsidP="007F5A1F">
            <w:pPr>
              <w:jc w:val="center"/>
              <w:rPr>
                <w:rFonts w:ascii="宋体" w:hAnsi="宋体"/>
                <w:szCs w:val="21"/>
              </w:rPr>
            </w:pPr>
          </w:p>
        </w:tc>
        <w:tc>
          <w:tcPr>
            <w:tcW w:w="648"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ind w:left="0" w:firstLine="0"/>
              <w:jc w:val="center"/>
              <w:rPr>
                <w:rFonts w:ascii="宋体" w:hAnsi="宋体"/>
                <w:szCs w:val="21"/>
              </w:rPr>
            </w:pPr>
            <w:r w:rsidRPr="00D239CF">
              <w:rPr>
                <w:rFonts w:ascii="宋体" w:hAnsi="宋体"/>
                <w:szCs w:val="21"/>
              </w:rPr>
              <w:t>√</w:t>
            </w: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6" w:type="pct"/>
            <w:shd w:val="clear" w:color="auto" w:fill="auto"/>
            <w:vAlign w:val="center"/>
          </w:tcPr>
          <w:p w:rsidR="00682D5D" w:rsidRPr="00D239CF" w:rsidRDefault="00682D5D" w:rsidP="007F5A1F">
            <w:pPr>
              <w:jc w:val="center"/>
              <w:rPr>
                <w:rFonts w:ascii="宋体" w:hAnsi="宋体"/>
                <w:szCs w:val="21"/>
              </w:rPr>
            </w:pPr>
          </w:p>
        </w:tc>
      </w:tr>
      <w:tr w:rsidR="00682D5D" w:rsidRPr="00D239CF" w:rsidTr="007F5A1F">
        <w:trPr>
          <w:trHeight w:val="20"/>
          <w:jc w:val="center"/>
        </w:trPr>
        <w:tc>
          <w:tcPr>
            <w:tcW w:w="1198"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1折</w:t>
            </w:r>
            <w:r w:rsidRPr="00D239CF">
              <w:rPr>
                <w:rFonts w:ascii="宋体" w:hAnsi="宋体" w:hint="eastAsia"/>
                <w:bCs/>
                <w:szCs w:val="21"/>
              </w:rPr>
              <w:t>优惠</w:t>
            </w:r>
          </w:p>
        </w:tc>
        <w:tc>
          <w:tcPr>
            <w:tcW w:w="565" w:type="pct"/>
            <w:shd w:val="clear" w:color="auto" w:fill="auto"/>
            <w:vAlign w:val="center"/>
          </w:tcPr>
          <w:p w:rsidR="00682D5D" w:rsidRPr="00D239CF" w:rsidRDefault="00682D5D" w:rsidP="007F5A1F">
            <w:pPr>
              <w:jc w:val="center"/>
              <w:rPr>
                <w:rFonts w:ascii="宋体" w:hAnsi="宋体"/>
                <w:szCs w:val="21"/>
              </w:rPr>
            </w:pPr>
          </w:p>
        </w:tc>
        <w:tc>
          <w:tcPr>
            <w:tcW w:w="648"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ind w:left="0" w:firstLine="0"/>
              <w:jc w:val="center"/>
              <w:rPr>
                <w:rFonts w:ascii="宋体" w:hAnsi="宋体"/>
                <w:szCs w:val="21"/>
              </w:rPr>
            </w:pPr>
            <w:r w:rsidRPr="00D239CF">
              <w:rPr>
                <w:rFonts w:ascii="宋体" w:hAnsi="宋体" w:hint="eastAsia"/>
                <w:szCs w:val="21"/>
              </w:rPr>
              <w:t>√</w:t>
            </w: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6" w:type="pct"/>
            <w:shd w:val="clear" w:color="auto" w:fill="auto"/>
            <w:vAlign w:val="center"/>
          </w:tcPr>
          <w:p w:rsidR="00682D5D" w:rsidRPr="00D239CF" w:rsidRDefault="00682D5D" w:rsidP="007F5A1F">
            <w:pPr>
              <w:jc w:val="center"/>
              <w:rPr>
                <w:rFonts w:ascii="宋体" w:hAnsi="宋体"/>
                <w:szCs w:val="21"/>
              </w:rPr>
            </w:pPr>
          </w:p>
        </w:tc>
      </w:tr>
      <w:tr w:rsidR="00682D5D" w:rsidRPr="00D239CF" w:rsidTr="007F5A1F">
        <w:trPr>
          <w:trHeight w:val="20"/>
          <w:jc w:val="center"/>
        </w:trPr>
        <w:tc>
          <w:tcPr>
            <w:tcW w:w="1198" w:type="pct"/>
            <w:shd w:val="clear" w:color="auto" w:fill="auto"/>
            <w:vAlign w:val="center"/>
          </w:tcPr>
          <w:p w:rsidR="00682D5D" w:rsidRPr="00D239CF" w:rsidRDefault="00682D5D" w:rsidP="007F5A1F">
            <w:pPr>
              <w:ind w:left="0" w:firstLine="0"/>
              <w:jc w:val="center"/>
              <w:rPr>
                <w:rFonts w:ascii="宋体" w:hAnsi="宋体"/>
                <w:bCs/>
                <w:szCs w:val="21"/>
              </w:rPr>
            </w:pPr>
            <w:r w:rsidRPr="00D239CF">
              <w:rPr>
                <w:rFonts w:ascii="宋体" w:hAnsi="宋体"/>
                <w:bCs/>
                <w:szCs w:val="21"/>
              </w:rPr>
              <w:t>0.1折</w:t>
            </w:r>
            <w:r w:rsidRPr="00D239CF">
              <w:rPr>
                <w:rFonts w:ascii="宋体" w:hAnsi="宋体" w:hint="eastAsia"/>
                <w:bCs/>
                <w:szCs w:val="21"/>
              </w:rPr>
              <w:t>优惠</w:t>
            </w:r>
          </w:p>
        </w:tc>
        <w:tc>
          <w:tcPr>
            <w:tcW w:w="565" w:type="pct"/>
            <w:shd w:val="clear" w:color="auto" w:fill="auto"/>
            <w:vAlign w:val="center"/>
          </w:tcPr>
          <w:p w:rsidR="00682D5D" w:rsidRPr="00D239CF" w:rsidRDefault="00682D5D" w:rsidP="007F5A1F">
            <w:pPr>
              <w:jc w:val="center"/>
              <w:rPr>
                <w:rFonts w:ascii="宋体" w:hAnsi="宋体"/>
                <w:szCs w:val="21"/>
              </w:rPr>
            </w:pPr>
          </w:p>
        </w:tc>
        <w:tc>
          <w:tcPr>
            <w:tcW w:w="648"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jc w:val="center"/>
              <w:rPr>
                <w:rFonts w:ascii="宋体" w:hAnsi="宋体"/>
                <w:szCs w:val="21"/>
              </w:rPr>
            </w:pPr>
          </w:p>
        </w:tc>
        <w:tc>
          <w:tcPr>
            <w:tcW w:w="647" w:type="pct"/>
            <w:shd w:val="clear" w:color="auto" w:fill="auto"/>
            <w:vAlign w:val="center"/>
          </w:tcPr>
          <w:p w:rsidR="00682D5D" w:rsidRPr="00D239CF" w:rsidRDefault="00682D5D" w:rsidP="007F5A1F">
            <w:pPr>
              <w:ind w:left="0" w:firstLine="0"/>
              <w:jc w:val="center"/>
              <w:rPr>
                <w:rFonts w:ascii="宋体" w:hAnsi="宋体"/>
                <w:szCs w:val="21"/>
              </w:rPr>
            </w:pPr>
            <w:r w:rsidRPr="00D239CF">
              <w:rPr>
                <w:rFonts w:ascii="宋体" w:hAnsi="宋体"/>
                <w:szCs w:val="21"/>
              </w:rPr>
              <w:t>√</w:t>
            </w:r>
          </w:p>
        </w:tc>
        <w:tc>
          <w:tcPr>
            <w:tcW w:w="646" w:type="pct"/>
            <w:shd w:val="clear" w:color="auto" w:fill="auto"/>
            <w:vAlign w:val="center"/>
          </w:tcPr>
          <w:p w:rsidR="00682D5D" w:rsidRPr="00D239CF" w:rsidRDefault="00682D5D" w:rsidP="007F5A1F">
            <w:pPr>
              <w:ind w:left="0" w:firstLine="0"/>
              <w:jc w:val="center"/>
              <w:rPr>
                <w:rFonts w:ascii="宋体" w:hAnsi="宋体"/>
                <w:szCs w:val="21"/>
              </w:rPr>
            </w:pPr>
            <w:r w:rsidRPr="00D239CF">
              <w:rPr>
                <w:rFonts w:ascii="宋体" w:hAnsi="宋体" w:hint="eastAsia"/>
                <w:szCs w:val="21"/>
              </w:rPr>
              <w:t>√</w:t>
            </w:r>
          </w:p>
        </w:tc>
      </w:tr>
    </w:tbl>
    <w:p w:rsidR="00682D5D" w:rsidRPr="00682D5D" w:rsidRDefault="00682D5D" w:rsidP="00682D5D">
      <w:pPr>
        <w:rPr>
          <w:rFonts w:ascii="宋体" w:hAnsi="宋体"/>
          <w:szCs w:val="21"/>
        </w:rPr>
      </w:pPr>
      <w:r w:rsidRPr="00682D5D">
        <w:rPr>
          <w:rFonts w:ascii="宋体" w:hAnsi="宋体" w:hint="eastAsia"/>
          <w:szCs w:val="21"/>
        </w:rPr>
        <w:t>注：</w:t>
      </w:r>
      <w:r w:rsidRPr="00682D5D">
        <w:rPr>
          <w:rFonts w:ascii="宋体" w:hAnsi="宋体"/>
          <w:szCs w:val="21"/>
        </w:rPr>
        <w:t>1</w:t>
      </w:r>
      <w:r w:rsidRPr="00682D5D">
        <w:rPr>
          <w:rFonts w:ascii="宋体" w:hAnsi="宋体" w:hint="eastAsia"/>
          <w:szCs w:val="21"/>
        </w:rPr>
        <w:t>、账户安全等级是本公司基于投资者身份认证、密码保护、设备安全、生物识别、风险记录等维度，对投资者账户安全情况的综合评价，解释权归属于本公司。投资者可通过查询现金宝APP或拨打本公司客户服务热线（400-888-9918）了解账户安全等级详情。</w:t>
      </w:r>
    </w:p>
    <w:p w:rsidR="00682D5D" w:rsidRPr="00682D5D" w:rsidRDefault="00682D5D" w:rsidP="00682D5D">
      <w:pPr>
        <w:rPr>
          <w:rFonts w:ascii="宋体" w:hAnsi="宋体"/>
          <w:szCs w:val="21"/>
        </w:rPr>
      </w:pPr>
      <w:r w:rsidRPr="00682D5D">
        <w:rPr>
          <w:rFonts w:ascii="宋体" w:hAnsi="宋体"/>
          <w:szCs w:val="21"/>
        </w:rPr>
        <w:t>2</w:t>
      </w:r>
      <w:r w:rsidRPr="00682D5D">
        <w:rPr>
          <w:rFonts w:ascii="宋体" w:hAnsi="宋体" w:hint="eastAsia"/>
          <w:szCs w:val="21"/>
        </w:rPr>
        <w:t>、“最近</w:t>
      </w:r>
      <w:r w:rsidRPr="00682D5D">
        <w:rPr>
          <w:rFonts w:ascii="宋体" w:hAnsi="宋体"/>
          <w:szCs w:val="21"/>
        </w:rPr>
        <w:t>1/2/3”年指自D日</w:t>
      </w:r>
      <w:r w:rsidRPr="00682D5D">
        <w:rPr>
          <w:rFonts w:ascii="宋体" w:hAnsi="宋体" w:hint="eastAsia"/>
          <w:szCs w:val="21"/>
        </w:rPr>
        <w:t>（即当日）</w:t>
      </w:r>
      <w:r w:rsidRPr="00682D5D">
        <w:rPr>
          <w:rFonts w:ascii="宋体" w:hAnsi="宋体"/>
          <w:szCs w:val="21"/>
        </w:rPr>
        <w:t>起向前推算1/2/3</w:t>
      </w:r>
      <w:r w:rsidRPr="00682D5D">
        <w:rPr>
          <w:rFonts w:ascii="宋体" w:hAnsi="宋体" w:hint="eastAsia"/>
          <w:szCs w:val="21"/>
        </w:rPr>
        <w:t>个自然年度的年度对日</w:t>
      </w:r>
      <w:r w:rsidRPr="00682D5D">
        <w:rPr>
          <w:rFonts w:ascii="宋体" w:hAnsi="宋体"/>
          <w:szCs w:val="21"/>
        </w:rPr>
        <w:t>。</w:t>
      </w:r>
      <w:r w:rsidRPr="00682D5D">
        <w:rPr>
          <w:rFonts w:ascii="宋体" w:hAnsi="宋体" w:hint="eastAsia"/>
          <w:szCs w:val="21"/>
        </w:rPr>
        <w:t>例如，当前日期为2021年1月9日，即</w:t>
      </w:r>
      <w:r w:rsidRPr="00682D5D">
        <w:rPr>
          <w:rFonts w:ascii="宋体" w:hAnsi="宋体"/>
          <w:szCs w:val="21"/>
        </w:rPr>
        <w:t>D</w:t>
      </w:r>
      <w:r w:rsidRPr="00682D5D">
        <w:rPr>
          <w:rFonts w:ascii="宋体" w:hAnsi="宋体" w:hint="eastAsia"/>
          <w:szCs w:val="21"/>
        </w:rPr>
        <w:t>日为2021年1月9日，则“最近</w:t>
      </w:r>
      <w:r w:rsidRPr="00682D5D">
        <w:rPr>
          <w:rFonts w:ascii="宋体" w:hAnsi="宋体"/>
          <w:szCs w:val="21"/>
        </w:rPr>
        <w:t>3年”指2018年1月9日至2021年1月9日</w:t>
      </w:r>
      <w:r w:rsidRPr="00682D5D">
        <w:rPr>
          <w:rFonts w:ascii="宋体" w:hAnsi="宋体" w:hint="eastAsia"/>
          <w:szCs w:val="21"/>
        </w:rPr>
        <w:t>；当前日期为2021年1月10日，即</w:t>
      </w:r>
      <w:r w:rsidRPr="00682D5D">
        <w:rPr>
          <w:rFonts w:ascii="宋体" w:hAnsi="宋体"/>
          <w:szCs w:val="21"/>
        </w:rPr>
        <w:t>D</w:t>
      </w:r>
      <w:r w:rsidRPr="00682D5D">
        <w:rPr>
          <w:rFonts w:ascii="宋体" w:hAnsi="宋体" w:hint="eastAsia"/>
          <w:szCs w:val="21"/>
        </w:rPr>
        <w:t>日为2021年1月</w:t>
      </w:r>
      <w:r w:rsidRPr="00682D5D">
        <w:rPr>
          <w:rFonts w:ascii="宋体" w:hAnsi="宋体"/>
          <w:szCs w:val="21"/>
        </w:rPr>
        <w:t>10</w:t>
      </w:r>
      <w:r w:rsidRPr="00682D5D">
        <w:rPr>
          <w:rFonts w:ascii="宋体" w:hAnsi="宋体" w:hint="eastAsia"/>
          <w:szCs w:val="21"/>
        </w:rPr>
        <w:t>日，则“最近3年”指2018年1月</w:t>
      </w:r>
      <w:r w:rsidRPr="00682D5D">
        <w:rPr>
          <w:rFonts w:ascii="宋体" w:hAnsi="宋体"/>
          <w:szCs w:val="21"/>
        </w:rPr>
        <w:t>10</w:t>
      </w:r>
      <w:r w:rsidRPr="00682D5D">
        <w:rPr>
          <w:rFonts w:ascii="宋体" w:hAnsi="宋体" w:hint="eastAsia"/>
          <w:szCs w:val="21"/>
        </w:rPr>
        <w:t>日至2021年1月</w:t>
      </w:r>
      <w:r w:rsidRPr="00682D5D">
        <w:rPr>
          <w:rFonts w:ascii="宋体" w:hAnsi="宋体"/>
          <w:szCs w:val="21"/>
        </w:rPr>
        <w:t>10</w:t>
      </w:r>
      <w:r w:rsidRPr="00682D5D">
        <w:rPr>
          <w:rFonts w:ascii="宋体" w:hAnsi="宋体" w:hint="eastAsia"/>
          <w:szCs w:val="21"/>
        </w:rPr>
        <w:t>日，以此类推。</w:t>
      </w:r>
    </w:p>
    <w:p w:rsidR="00F538A2" w:rsidRPr="00D239CF" w:rsidRDefault="00682D5D" w:rsidP="00D239CF">
      <w:pPr>
        <w:rPr>
          <w:rFonts w:ascii="宋体" w:hAnsi="宋体" w:hint="eastAsia"/>
          <w:szCs w:val="21"/>
        </w:rPr>
      </w:pPr>
      <w:r w:rsidRPr="00682D5D">
        <w:rPr>
          <w:rFonts w:ascii="宋体" w:hAnsi="宋体"/>
          <w:szCs w:val="21"/>
        </w:rPr>
        <w:t>3</w:t>
      </w:r>
      <w:r w:rsidRPr="00682D5D">
        <w:rPr>
          <w:rFonts w:ascii="宋体" w:hAnsi="宋体" w:hint="eastAsia"/>
          <w:szCs w:val="21"/>
        </w:rPr>
        <w:t>、</w:t>
      </w:r>
      <w:r w:rsidRPr="00682D5D">
        <w:rPr>
          <w:rFonts w:ascii="宋体" w:hAnsi="宋体"/>
          <w:szCs w:val="21"/>
        </w:rPr>
        <w:t>30个自然日日均资产=</w:t>
      </w:r>
      <w:r w:rsidRPr="00682D5D">
        <w:rPr>
          <w:rFonts w:ascii="宋体" w:hAnsi="宋体" w:hint="eastAsia"/>
          <w:szCs w:val="21"/>
        </w:rPr>
        <w:t>自</w:t>
      </w:r>
      <w:r w:rsidRPr="00682D5D">
        <w:rPr>
          <w:rFonts w:ascii="宋体" w:hAnsi="宋体"/>
          <w:szCs w:val="21"/>
        </w:rPr>
        <w:t>D日起</w:t>
      </w:r>
      <w:r w:rsidRPr="00682D5D">
        <w:rPr>
          <w:rFonts w:ascii="宋体" w:hAnsi="宋体" w:hint="eastAsia"/>
          <w:szCs w:val="21"/>
        </w:rPr>
        <w:t>（即当日）</w:t>
      </w:r>
      <w:r w:rsidRPr="00682D5D">
        <w:rPr>
          <w:rFonts w:ascii="宋体" w:hAnsi="宋体"/>
          <w:szCs w:val="21"/>
        </w:rPr>
        <w:t>向前推算30</w:t>
      </w:r>
      <w:r w:rsidRPr="00682D5D">
        <w:rPr>
          <w:rFonts w:ascii="宋体" w:hAnsi="宋体" w:hint="eastAsia"/>
          <w:szCs w:val="21"/>
        </w:rPr>
        <w:t>个自然日（不含D日）每日保有资产累加值</w:t>
      </w:r>
      <w:r w:rsidRPr="00682D5D">
        <w:rPr>
          <w:rFonts w:ascii="宋体" w:hAnsi="宋体"/>
          <w:szCs w:val="21"/>
        </w:rPr>
        <w:t>/30。</w:t>
      </w:r>
      <w:r w:rsidRPr="00682D5D">
        <w:rPr>
          <w:rFonts w:ascii="宋体" w:hAnsi="宋体" w:hint="eastAsia"/>
          <w:szCs w:val="21"/>
        </w:rPr>
        <w:t>例如，当前日期为2021年1月9日，即</w:t>
      </w:r>
      <w:r w:rsidRPr="00682D5D">
        <w:rPr>
          <w:rFonts w:ascii="宋体" w:hAnsi="宋体"/>
          <w:szCs w:val="21"/>
        </w:rPr>
        <w:t>D</w:t>
      </w:r>
      <w:r w:rsidRPr="00682D5D">
        <w:rPr>
          <w:rFonts w:ascii="宋体" w:hAnsi="宋体" w:hint="eastAsia"/>
          <w:szCs w:val="21"/>
        </w:rPr>
        <w:t>日为</w:t>
      </w:r>
      <w:r w:rsidRPr="00682D5D">
        <w:rPr>
          <w:rFonts w:ascii="宋体" w:hAnsi="宋体"/>
          <w:szCs w:val="21"/>
        </w:rPr>
        <w:t>2021年1月9日，则“30个自然日日均资产</w:t>
      </w:r>
      <w:r w:rsidRPr="00682D5D">
        <w:rPr>
          <w:rFonts w:ascii="宋体" w:hAnsi="宋体" w:hint="eastAsia"/>
          <w:szCs w:val="21"/>
        </w:rPr>
        <w:t>”</w:t>
      </w:r>
      <w:r w:rsidRPr="00682D5D">
        <w:rPr>
          <w:rFonts w:ascii="宋体" w:hAnsi="宋体"/>
          <w:szCs w:val="21"/>
        </w:rPr>
        <w:t>=用户2020年12月10日至2021年1月8日在线上直销系统的每日资产累加值/30</w:t>
      </w:r>
      <w:r w:rsidRPr="00682D5D">
        <w:rPr>
          <w:rFonts w:ascii="宋体" w:hAnsi="宋体" w:hint="eastAsia"/>
          <w:szCs w:val="21"/>
        </w:rPr>
        <w:t>，以此类推。</w:t>
      </w:r>
    </w:p>
    <w:sectPr w:rsidR="00F538A2" w:rsidRPr="00D239CF" w:rsidSect="00410C19">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A0" w:rsidRDefault="007306A0" w:rsidP="00AC37B5">
      <w:pPr>
        <w:spacing w:line="240" w:lineRule="auto"/>
      </w:pPr>
      <w:r>
        <w:separator/>
      </w:r>
    </w:p>
  </w:endnote>
  <w:endnote w:type="continuationSeparator" w:id="0">
    <w:p w:rsidR="007306A0" w:rsidRDefault="007306A0" w:rsidP="00AC37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A0" w:rsidRDefault="007306A0" w:rsidP="00AC37B5">
      <w:pPr>
        <w:spacing w:line="240" w:lineRule="auto"/>
      </w:pPr>
      <w:r>
        <w:separator/>
      </w:r>
    </w:p>
  </w:footnote>
  <w:footnote w:type="continuationSeparator" w:id="0">
    <w:p w:rsidR="007306A0" w:rsidRDefault="007306A0" w:rsidP="00AC37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D20F9"/>
    <w:multiLevelType w:val="hybridMultilevel"/>
    <w:tmpl w:val="A476B906"/>
    <w:lvl w:ilvl="0" w:tplc="AC06E3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7B82"/>
    <w:rsid w:val="000065DD"/>
    <w:rsid w:val="00084443"/>
    <w:rsid w:val="0008629D"/>
    <w:rsid w:val="000D666D"/>
    <w:rsid w:val="000E3800"/>
    <w:rsid w:val="0014115E"/>
    <w:rsid w:val="00147B82"/>
    <w:rsid w:val="00147CE7"/>
    <w:rsid w:val="0017289C"/>
    <w:rsid w:val="00193047"/>
    <w:rsid w:val="001D50EE"/>
    <w:rsid w:val="00227AFD"/>
    <w:rsid w:val="00236755"/>
    <w:rsid w:val="00257CD8"/>
    <w:rsid w:val="00285E7F"/>
    <w:rsid w:val="002A7B97"/>
    <w:rsid w:val="002B6920"/>
    <w:rsid w:val="002E7AF2"/>
    <w:rsid w:val="002F2979"/>
    <w:rsid w:val="00311DEB"/>
    <w:rsid w:val="00320F43"/>
    <w:rsid w:val="00323DD5"/>
    <w:rsid w:val="00344E04"/>
    <w:rsid w:val="00355C36"/>
    <w:rsid w:val="003917C5"/>
    <w:rsid w:val="00392EE7"/>
    <w:rsid w:val="003A5AC9"/>
    <w:rsid w:val="003C3FB9"/>
    <w:rsid w:val="003E2435"/>
    <w:rsid w:val="003E586C"/>
    <w:rsid w:val="003F170C"/>
    <w:rsid w:val="00410C19"/>
    <w:rsid w:val="00497E02"/>
    <w:rsid w:val="00510869"/>
    <w:rsid w:val="00520243"/>
    <w:rsid w:val="0052723C"/>
    <w:rsid w:val="00546CB9"/>
    <w:rsid w:val="00557DA6"/>
    <w:rsid w:val="00571F7F"/>
    <w:rsid w:val="005927D1"/>
    <w:rsid w:val="005A7F93"/>
    <w:rsid w:val="005E0615"/>
    <w:rsid w:val="005F560F"/>
    <w:rsid w:val="00616791"/>
    <w:rsid w:val="00616F1E"/>
    <w:rsid w:val="006172CF"/>
    <w:rsid w:val="006231F2"/>
    <w:rsid w:val="00635263"/>
    <w:rsid w:val="00681F50"/>
    <w:rsid w:val="00682D5D"/>
    <w:rsid w:val="006901AA"/>
    <w:rsid w:val="006C238A"/>
    <w:rsid w:val="006E3648"/>
    <w:rsid w:val="007306A0"/>
    <w:rsid w:val="007313C8"/>
    <w:rsid w:val="0079172C"/>
    <w:rsid w:val="007919B1"/>
    <w:rsid w:val="007B42FF"/>
    <w:rsid w:val="007B7438"/>
    <w:rsid w:val="007C24FE"/>
    <w:rsid w:val="007F5A1F"/>
    <w:rsid w:val="00800369"/>
    <w:rsid w:val="008467A7"/>
    <w:rsid w:val="00851230"/>
    <w:rsid w:val="008678FB"/>
    <w:rsid w:val="008844B6"/>
    <w:rsid w:val="00890301"/>
    <w:rsid w:val="008D4338"/>
    <w:rsid w:val="008F07F6"/>
    <w:rsid w:val="008F7E5E"/>
    <w:rsid w:val="009051C0"/>
    <w:rsid w:val="009302DA"/>
    <w:rsid w:val="00945E7E"/>
    <w:rsid w:val="00955F73"/>
    <w:rsid w:val="00985B02"/>
    <w:rsid w:val="009D1E82"/>
    <w:rsid w:val="009E2E7A"/>
    <w:rsid w:val="009E669A"/>
    <w:rsid w:val="00A134C8"/>
    <w:rsid w:val="00A61105"/>
    <w:rsid w:val="00A82FEE"/>
    <w:rsid w:val="00A83250"/>
    <w:rsid w:val="00AB31E1"/>
    <w:rsid w:val="00AC3535"/>
    <w:rsid w:val="00AC37B5"/>
    <w:rsid w:val="00AE0170"/>
    <w:rsid w:val="00AE3FA4"/>
    <w:rsid w:val="00AE5B10"/>
    <w:rsid w:val="00AE73E6"/>
    <w:rsid w:val="00AE7769"/>
    <w:rsid w:val="00AF0784"/>
    <w:rsid w:val="00AF4D3E"/>
    <w:rsid w:val="00B3097F"/>
    <w:rsid w:val="00B73004"/>
    <w:rsid w:val="00B76319"/>
    <w:rsid w:val="00C0186F"/>
    <w:rsid w:val="00C048CE"/>
    <w:rsid w:val="00C102B3"/>
    <w:rsid w:val="00C200FB"/>
    <w:rsid w:val="00C2389B"/>
    <w:rsid w:val="00C26104"/>
    <w:rsid w:val="00C27D35"/>
    <w:rsid w:val="00C629F1"/>
    <w:rsid w:val="00C76522"/>
    <w:rsid w:val="00C8392B"/>
    <w:rsid w:val="00CB2C2E"/>
    <w:rsid w:val="00CF2C30"/>
    <w:rsid w:val="00D0556C"/>
    <w:rsid w:val="00D20228"/>
    <w:rsid w:val="00D239CF"/>
    <w:rsid w:val="00D26C23"/>
    <w:rsid w:val="00D348A2"/>
    <w:rsid w:val="00D44947"/>
    <w:rsid w:val="00D9539B"/>
    <w:rsid w:val="00DC404A"/>
    <w:rsid w:val="00DD2F98"/>
    <w:rsid w:val="00DE5498"/>
    <w:rsid w:val="00E115E2"/>
    <w:rsid w:val="00E1436A"/>
    <w:rsid w:val="00E2111F"/>
    <w:rsid w:val="00E258BB"/>
    <w:rsid w:val="00E47B4B"/>
    <w:rsid w:val="00EE258F"/>
    <w:rsid w:val="00F04C10"/>
    <w:rsid w:val="00F05B7C"/>
    <w:rsid w:val="00F063F4"/>
    <w:rsid w:val="00F14545"/>
    <w:rsid w:val="00F15380"/>
    <w:rsid w:val="00F34AA5"/>
    <w:rsid w:val="00F538A2"/>
    <w:rsid w:val="00F6583B"/>
    <w:rsid w:val="00F8181C"/>
    <w:rsid w:val="00FD2A04"/>
    <w:rsid w:val="00FF78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82"/>
    <w:pPr>
      <w:widowControl w:val="0"/>
      <w:spacing w:line="360" w:lineRule="auto"/>
      <w:ind w:left="482" w:firstLine="42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89C"/>
    <w:rPr>
      <w:color w:val="0000FF"/>
      <w:u w:val="single"/>
    </w:rPr>
  </w:style>
  <w:style w:type="paragraph" w:styleId="a4">
    <w:name w:val="header"/>
    <w:basedOn w:val="a"/>
    <w:link w:val="Char"/>
    <w:uiPriority w:val="99"/>
    <w:unhideWhenUsed/>
    <w:rsid w:val="00AC37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rsid w:val="00AC37B5"/>
    <w:rPr>
      <w:kern w:val="2"/>
      <w:sz w:val="18"/>
      <w:szCs w:val="18"/>
    </w:rPr>
  </w:style>
  <w:style w:type="paragraph" w:styleId="a5">
    <w:name w:val="footer"/>
    <w:basedOn w:val="a"/>
    <w:link w:val="Char0"/>
    <w:uiPriority w:val="99"/>
    <w:unhideWhenUsed/>
    <w:rsid w:val="00AC37B5"/>
    <w:pPr>
      <w:tabs>
        <w:tab w:val="center" w:pos="4153"/>
        <w:tab w:val="right" w:pos="8306"/>
      </w:tabs>
      <w:snapToGrid w:val="0"/>
      <w:spacing w:line="240" w:lineRule="auto"/>
      <w:jc w:val="left"/>
    </w:pPr>
    <w:rPr>
      <w:sz w:val="18"/>
      <w:szCs w:val="18"/>
    </w:rPr>
  </w:style>
  <w:style w:type="character" w:customStyle="1" w:styleId="Char0">
    <w:name w:val="页脚 Char"/>
    <w:link w:val="a5"/>
    <w:uiPriority w:val="99"/>
    <w:rsid w:val="00AC37B5"/>
    <w:rPr>
      <w:kern w:val="2"/>
      <w:sz w:val="18"/>
      <w:szCs w:val="18"/>
    </w:rPr>
  </w:style>
  <w:style w:type="paragraph" w:styleId="a6">
    <w:name w:val="Balloon Text"/>
    <w:basedOn w:val="a"/>
    <w:link w:val="Char1"/>
    <w:uiPriority w:val="99"/>
    <w:semiHidden/>
    <w:unhideWhenUsed/>
    <w:rsid w:val="00616F1E"/>
    <w:pPr>
      <w:spacing w:line="240" w:lineRule="auto"/>
    </w:pPr>
    <w:rPr>
      <w:sz w:val="18"/>
      <w:szCs w:val="18"/>
    </w:rPr>
  </w:style>
  <w:style w:type="character" w:customStyle="1" w:styleId="Char1">
    <w:name w:val="批注框文本 Char"/>
    <w:link w:val="a6"/>
    <w:uiPriority w:val="99"/>
    <w:semiHidden/>
    <w:rsid w:val="00616F1E"/>
    <w:rPr>
      <w:kern w:val="2"/>
      <w:sz w:val="18"/>
      <w:szCs w:val="18"/>
    </w:rPr>
  </w:style>
  <w:style w:type="paragraph" w:styleId="a7">
    <w:name w:val="Date"/>
    <w:basedOn w:val="a"/>
    <w:next w:val="a"/>
    <w:link w:val="Char2"/>
    <w:uiPriority w:val="99"/>
    <w:semiHidden/>
    <w:unhideWhenUsed/>
    <w:rsid w:val="00C0186F"/>
    <w:pPr>
      <w:ind w:leftChars="2500" w:left="100"/>
    </w:pPr>
  </w:style>
  <w:style w:type="character" w:customStyle="1" w:styleId="Char2">
    <w:name w:val="日期 Char"/>
    <w:link w:val="a7"/>
    <w:uiPriority w:val="99"/>
    <w:semiHidden/>
    <w:rsid w:val="00C0186F"/>
    <w:rPr>
      <w:kern w:val="2"/>
      <w:sz w:val="21"/>
      <w:szCs w:val="22"/>
    </w:rPr>
  </w:style>
  <w:style w:type="paragraph" w:styleId="a8">
    <w:name w:val="Revision"/>
    <w:hidden/>
    <w:uiPriority w:val="99"/>
    <w:semiHidden/>
    <w:rsid w:val="006231F2"/>
    <w:rPr>
      <w:kern w:val="2"/>
      <w:sz w:val="21"/>
      <w:szCs w:val="22"/>
    </w:rPr>
  </w:style>
  <w:style w:type="table" w:styleId="a9">
    <w:name w:val="Table Grid"/>
    <w:basedOn w:val="a1"/>
    <w:uiPriority w:val="59"/>
    <w:qFormat/>
    <w:rsid w:val="000844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205423">
      <w:bodyDiv w:val="1"/>
      <w:marLeft w:val="0"/>
      <w:marRight w:val="0"/>
      <w:marTop w:val="0"/>
      <w:marBottom w:val="0"/>
      <w:divBdr>
        <w:top w:val="none" w:sz="0" w:space="0" w:color="auto"/>
        <w:left w:val="none" w:sz="0" w:space="0" w:color="auto"/>
        <w:bottom w:val="none" w:sz="0" w:space="0" w:color="auto"/>
        <w:right w:val="none" w:sz="0" w:space="0" w:color="auto"/>
      </w:divBdr>
    </w:div>
    <w:div w:id="1001346785">
      <w:bodyDiv w:val="1"/>
      <w:marLeft w:val="0"/>
      <w:marRight w:val="0"/>
      <w:marTop w:val="0"/>
      <w:marBottom w:val="0"/>
      <w:divBdr>
        <w:top w:val="none" w:sz="0" w:space="0" w:color="auto"/>
        <w:left w:val="none" w:sz="0" w:space="0" w:color="auto"/>
        <w:bottom w:val="none" w:sz="0" w:space="0" w:color="auto"/>
        <w:right w:val="none" w:sz="0" w:space="0" w:color="auto"/>
      </w:divBdr>
    </w:div>
    <w:div w:id="1424111951">
      <w:bodyDiv w:val="1"/>
      <w:marLeft w:val="0"/>
      <w:marRight w:val="0"/>
      <w:marTop w:val="0"/>
      <w:marBottom w:val="0"/>
      <w:divBdr>
        <w:top w:val="none" w:sz="0" w:space="0" w:color="auto"/>
        <w:left w:val="none" w:sz="0" w:space="0" w:color="auto"/>
        <w:bottom w:val="none" w:sz="0" w:space="0" w:color="auto"/>
        <w:right w:val="none" w:sz="0" w:space="0" w:color="auto"/>
      </w:divBdr>
    </w:div>
    <w:div w:id="1568415689">
      <w:bodyDiv w:val="1"/>
      <w:marLeft w:val="0"/>
      <w:marRight w:val="0"/>
      <w:marTop w:val="0"/>
      <w:marBottom w:val="0"/>
      <w:divBdr>
        <w:top w:val="none" w:sz="0" w:space="0" w:color="auto"/>
        <w:left w:val="none" w:sz="0" w:space="0" w:color="auto"/>
        <w:bottom w:val="none" w:sz="0" w:space="0" w:color="auto"/>
        <w:right w:val="none" w:sz="0" w:space="0" w:color="auto"/>
      </w:divBdr>
    </w:div>
    <w:div w:id="16934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4</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张悦</dc:creator>
  <cp:keywords/>
  <cp:lastModifiedBy>ZHONGM</cp:lastModifiedBy>
  <cp:revision>2</cp:revision>
  <cp:lastPrinted>2021-01-08T07:19:00Z</cp:lastPrinted>
  <dcterms:created xsi:type="dcterms:W3CDTF">2021-01-08T16:07:00Z</dcterms:created>
  <dcterms:modified xsi:type="dcterms:W3CDTF">2021-01-08T16:07:00Z</dcterms:modified>
</cp:coreProperties>
</file>