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45" w:rsidRPr="007303B7" w:rsidRDefault="00417B45" w:rsidP="001B260B">
      <w:pPr>
        <w:ind w:right="84"/>
        <w:jc w:val="center"/>
        <w:textAlignment w:val="baseline"/>
        <w:rPr>
          <w:b/>
          <w:bCs/>
          <w:sz w:val="28"/>
          <w:szCs w:val="28"/>
        </w:rPr>
      </w:pPr>
      <w:r w:rsidRPr="007303B7">
        <w:rPr>
          <w:rFonts w:hint="eastAsia"/>
          <w:b/>
          <w:bCs/>
          <w:sz w:val="28"/>
          <w:szCs w:val="28"/>
        </w:rPr>
        <w:t>鹏华</w:t>
      </w:r>
      <w:r w:rsidR="003F2E27" w:rsidRPr="007303B7">
        <w:rPr>
          <w:rFonts w:hint="eastAsia"/>
          <w:b/>
          <w:bCs/>
          <w:sz w:val="28"/>
          <w:szCs w:val="28"/>
        </w:rPr>
        <w:t>基金管理有限公司关于</w:t>
      </w:r>
      <w:r w:rsidRPr="007303B7">
        <w:rPr>
          <w:rFonts w:hint="eastAsia"/>
          <w:b/>
          <w:bCs/>
          <w:sz w:val="28"/>
          <w:szCs w:val="28"/>
        </w:rPr>
        <w:t>鹏华</w:t>
      </w:r>
      <w:r w:rsidR="00E16593" w:rsidRPr="007303B7">
        <w:rPr>
          <w:rFonts w:hint="eastAsia"/>
          <w:b/>
          <w:bCs/>
          <w:sz w:val="28"/>
          <w:szCs w:val="28"/>
        </w:rPr>
        <w:t>创新未来</w:t>
      </w:r>
      <w:r w:rsidR="00E16593" w:rsidRPr="007303B7">
        <w:rPr>
          <w:rFonts w:hint="eastAsia"/>
          <w:b/>
          <w:bCs/>
          <w:sz w:val="28"/>
          <w:szCs w:val="28"/>
        </w:rPr>
        <w:t>18</w:t>
      </w:r>
      <w:r w:rsidR="009A3A46" w:rsidRPr="007303B7">
        <w:rPr>
          <w:rFonts w:hint="eastAsia"/>
          <w:b/>
          <w:bCs/>
          <w:sz w:val="28"/>
          <w:szCs w:val="28"/>
        </w:rPr>
        <w:t>个月封闭运作混合型</w:t>
      </w:r>
    </w:p>
    <w:p w:rsidR="00417B45" w:rsidRPr="007303B7" w:rsidRDefault="009A3A46" w:rsidP="001B260B">
      <w:pPr>
        <w:ind w:right="84"/>
        <w:jc w:val="center"/>
        <w:textAlignment w:val="baseline"/>
        <w:rPr>
          <w:b/>
          <w:bCs/>
          <w:sz w:val="28"/>
          <w:szCs w:val="28"/>
        </w:rPr>
      </w:pPr>
      <w:r w:rsidRPr="007303B7">
        <w:rPr>
          <w:rFonts w:hint="eastAsia"/>
          <w:b/>
          <w:bCs/>
          <w:sz w:val="28"/>
          <w:szCs w:val="28"/>
        </w:rPr>
        <w:t>证券投资基金修订</w:t>
      </w:r>
      <w:r w:rsidR="006C3D6C" w:rsidRPr="007303B7">
        <w:rPr>
          <w:rFonts w:hint="eastAsia"/>
          <w:b/>
          <w:bCs/>
          <w:sz w:val="28"/>
          <w:szCs w:val="28"/>
        </w:rPr>
        <w:t>基金合同</w:t>
      </w:r>
      <w:r w:rsidR="00B723F7" w:rsidRPr="007303B7">
        <w:rPr>
          <w:rFonts w:hint="eastAsia"/>
          <w:b/>
          <w:bCs/>
          <w:sz w:val="28"/>
          <w:szCs w:val="28"/>
        </w:rPr>
        <w:t>、</w:t>
      </w:r>
      <w:r w:rsidR="00070D88" w:rsidRPr="007303B7">
        <w:rPr>
          <w:rFonts w:hint="eastAsia"/>
          <w:b/>
          <w:bCs/>
          <w:sz w:val="28"/>
          <w:szCs w:val="28"/>
        </w:rPr>
        <w:t>开通</w:t>
      </w:r>
      <w:r w:rsidR="00CC7BE3" w:rsidRPr="007303B7">
        <w:rPr>
          <w:rFonts w:hint="eastAsia"/>
          <w:b/>
          <w:bCs/>
          <w:sz w:val="28"/>
          <w:szCs w:val="28"/>
        </w:rPr>
        <w:t>跨系统转托管及基金份额上市</w:t>
      </w:r>
    </w:p>
    <w:p w:rsidR="00E16593" w:rsidRPr="007303B7" w:rsidRDefault="006B2F60" w:rsidP="001B260B">
      <w:pPr>
        <w:ind w:right="84"/>
        <w:jc w:val="center"/>
        <w:textAlignment w:val="baseline"/>
        <w:rPr>
          <w:b/>
          <w:sz w:val="20"/>
          <w:szCs w:val="21"/>
        </w:rPr>
      </w:pPr>
      <w:r w:rsidRPr="007303B7">
        <w:rPr>
          <w:rFonts w:hint="eastAsia"/>
          <w:b/>
          <w:bCs/>
          <w:sz w:val="28"/>
          <w:szCs w:val="28"/>
        </w:rPr>
        <w:t>相关安排</w:t>
      </w:r>
      <w:r w:rsidR="00E16593" w:rsidRPr="007303B7">
        <w:rPr>
          <w:rFonts w:hint="eastAsia"/>
          <w:b/>
          <w:sz w:val="28"/>
          <w:szCs w:val="28"/>
        </w:rPr>
        <w:t>的公告</w:t>
      </w:r>
    </w:p>
    <w:p w:rsidR="00E16593" w:rsidRPr="007303B7" w:rsidRDefault="00E16593" w:rsidP="00E16593">
      <w:pPr>
        <w:pStyle w:val="Default"/>
        <w:ind w:right="84"/>
        <w:jc w:val="both"/>
        <w:textAlignment w:val="baseline"/>
        <w:rPr>
          <w:sz w:val="21"/>
          <w:szCs w:val="21"/>
        </w:rPr>
      </w:pPr>
    </w:p>
    <w:p w:rsidR="005916E4" w:rsidRPr="007303B7" w:rsidRDefault="005916E4" w:rsidP="00E16593">
      <w:pPr>
        <w:spacing w:line="360" w:lineRule="auto"/>
        <w:ind w:right="84" w:firstLineChars="200" w:firstLine="480"/>
        <w:textAlignment w:val="baseline"/>
        <w:rPr>
          <w:rFonts w:ascii="Times New Roman" w:eastAsia="宋体" w:hAnsi="宋体" w:cs="宋体"/>
          <w:sz w:val="24"/>
          <w:szCs w:val="24"/>
        </w:rPr>
      </w:pPr>
    </w:p>
    <w:p w:rsidR="00481F88" w:rsidRPr="007303B7" w:rsidRDefault="004E772D" w:rsidP="00070D88">
      <w:pPr>
        <w:pStyle w:val="a3"/>
        <w:spacing w:line="360" w:lineRule="auto"/>
        <w:ind w:right="84" w:firstLine="480"/>
        <w:textAlignment w:val="baseline"/>
        <w:rPr>
          <w:rFonts w:hAnsi="宋体" w:cs="宋体"/>
          <w:b/>
          <w:iCs/>
          <w:sz w:val="24"/>
        </w:rPr>
      </w:pPr>
      <w:r w:rsidRPr="007303B7">
        <w:rPr>
          <w:rFonts w:hAnsi="宋体" w:cs="宋体" w:hint="eastAsia"/>
          <w:sz w:val="24"/>
        </w:rPr>
        <w:t>为更好地服务投资者，从保护投资者利益的原则出发，</w:t>
      </w:r>
      <w:r w:rsidR="00417B45" w:rsidRPr="007303B7">
        <w:rPr>
          <w:rFonts w:hAnsi="宋体" w:cs="宋体" w:hint="eastAsia"/>
          <w:sz w:val="24"/>
        </w:rPr>
        <w:t>鹏华</w:t>
      </w:r>
      <w:r w:rsidRPr="007303B7">
        <w:rPr>
          <w:rFonts w:hAnsi="宋体" w:cs="宋体" w:hint="eastAsia"/>
          <w:sz w:val="24"/>
        </w:rPr>
        <w:t>基金管理有限公司（以下简称“基金管理人”）经与基金托管人上海浦东发展银行股份有限公司协商一致，并</w:t>
      </w:r>
      <w:r w:rsidR="00440628" w:rsidRPr="007303B7">
        <w:rPr>
          <w:rFonts w:hAnsi="宋体" w:cs="宋体" w:hint="eastAsia"/>
          <w:sz w:val="24"/>
        </w:rPr>
        <w:t>经</w:t>
      </w:r>
      <w:r w:rsidRPr="007303B7">
        <w:rPr>
          <w:rFonts w:hAnsi="宋体" w:cs="宋体"/>
          <w:sz w:val="24"/>
        </w:rPr>
        <w:t>中国证监会《关于准予</w:t>
      </w:r>
      <w:r w:rsidR="00417B45" w:rsidRPr="007303B7">
        <w:rPr>
          <w:rFonts w:hAnsi="宋体" w:cs="宋体" w:hint="eastAsia"/>
          <w:sz w:val="24"/>
        </w:rPr>
        <w:t>鹏华</w:t>
      </w:r>
      <w:r w:rsidRPr="007303B7">
        <w:rPr>
          <w:rFonts w:hAnsi="宋体" w:cs="宋体"/>
          <w:sz w:val="24"/>
        </w:rPr>
        <w:t>创新未来</w:t>
      </w:r>
      <w:r w:rsidRPr="007303B7">
        <w:rPr>
          <w:rFonts w:hAnsi="宋体" w:cs="宋体"/>
          <w:sz w:val="24"/>
        </w:rPr>
        <w:t>18</w:t>
      </w:r>
      <w:r w:rsidRPr="007303B7">
        <w:rPr>
          <w:rFonts w:hAnsi="宋体" w:cs="宋体"/>
          <w:sz w:val="24"/>
        </w:rPr>
        <w:t>个月封闭运作混合型证券投资基金变更注册的批复》变更注册</w:t>
      </w:r>
      <w:r w:rsidRPr="007303B7">
        <w:rPr>
          <w:rFonts w:hAnsi="宋体" w:cs="宋体" w:hint="eastAsia"/>
          <w:sz w:val="24"/>
        </w:rPr>
        <w:t>，对</w:t>
      </w:r>
      <w:r w:rsidR="00417B45" w:rsidRPr="007303B7">
        <w:rPr>
          <w:rFonts w:hAnsi="宋体" w:cs="宋体" w:hint="eastAsia"/>
          <w:sz w:val="24"/>
        </w:rPr>
        <w:t>鹏华</w:t>
      </w:r>
      <w:r w:rsidRPr="007303B7">
        <w:rPr>
          <w:rFonts w:hAnsi="宋体" w:cs="宋体"/>
          <w:sz w:val="24"/>
        </w:rPr>
        <w:t>创新未来</w:t>
      </w:r>
      <w:r w:rsidRPr="007303B7">
        <w:rPr>
          <w:rFonts w:hAnsi="宋体" w:cs="宋体"/>
          <w:sz w:val="24"/>
        </w:rPr>
        <w:t>18</w:t>
      </w:r>
      <w:r w:rsidRPr="007303B7">
        <w:rPr>
          <w:rFonts w:hAnsi="宋体" w:cs="宋体"/>
          <w:sz w:val="24"/>
        </w:rPr>
        <w:t>个月封闭运作混合型证券投资基金（</w:t>
      </w:r>
      <w:r w:rsidRPr="007303B7">
        <w:rPr>
          <w:rFonts w:hAnsi="宋体" w:cs="宋体" w:hint="eastAsia"/>
          <w:sz w:val="24"/>
        </w:rPr>
        <w:t>以下简称“本基金”</w:t>
      </w:r>
      <w:r w:rsidRPr="007303B7">
        <w:rPr>
          <w:rFonts w:hAnsi="宋体" w:cs="宋体"/>
          <w:sz w:val="24"/>
        </w:rPr>
        <w:t>）</w:t>
      </w:r>
      <w:r w:rsidRPr="007303B7">
        <w:rPr>
          <w:rFonts w:hAnsi="宋体" w:cs="宋体" w:hint="eastAsia"/>
          <w:sz w:val="24"/>
        </w:rPr>
        <w:t>的</w:t>
      </w:r>
      <w:r w:rsidRPr="007303B7">
        <w:rPr>
          <w:rFonts w:hAnsi="宋体" w:cs="宋体"/>
          <w:sz w:val="24"/>
        </w:rPr>
        <w:t>基金合同</w:t>
      </w:r>
      <w:r w:rsidRPr="007303B7">
        <w:rPr>
          <w:rFonts w:hAnsi="宋体" w:cs="宋体" w:hint="eastAsia"/>
          <w:sz w:val="24"/>
        </w:rPr>
        <w:t>进行</w:t>
      </w:r>
      <w:r w:rsidR="008309BD" w:rsidRPr="007303B7">
        <w:rPr>
          <w:rFonts w:hAnsi="宋体" w:cs="宋体" w:hint="eastAsia"/>
          <w:sz w:val="24"/>
        </w:rPr>
        <w:t>了</w:t>
      </w:r>
      <w:r w:rsidRPr="007303B7">
        <w:rPr>
          <w:rFonts w:hAnsi="宋体" w:cs="宋体"/>
          <w:sz w:val="24"/>
        </w:rPr>
        <w:t>修订</w:t>
      </w:r>
      <w:r w:rsidR="005668AA" w:rsidRPr="007303B7">
        <w:rPr>
          <w:rFonts w:hAnsi="宋体" w:cs="宋体" w:hint="eastAsia"/>
          <w:sz w:val="24"/>
        </w:rPr>
        <w:t>，并据此修订</w:t>
      </w:r>
      <w:r w:rsidR="008309BD" w:rsidRPr="007303B7">
        <w:rPr>
          <w:rFonts w:hAnsi="宋体" w:cs="宋体" w:hint="eastAsia"/>
          <w:sz w:val="24"/>
        </w:rPr>
        <w:t>了</w:t>
      </w:r>
      <w:r w:rsidR="005668AA" w:rsidRPr="007303B7">
        <w:rPr>
          <w:rFonts w:hAnsi="宋体" w:cs="宋体" w:hint="eastAsia"/>
          <w:sz w:val="24"/>
        </w:rPr>
        <w:t>托管协议、招募说明书和基金产品资料概要中的相应内容</w:t>
      </w:r>
      <w:r w:rsidRPr="007303B7">
        <w:rPr>
          <w:rFonts w:hAnsi="宋体" w:cs="宋体" w:hint="eastAsia"/>
          <w:sz w:val="24"/>
        </w:rPr>
        <w:t>。</w:t>
      </w:r>
      <w:r w:rsidR="00EA0D58" w:rsidRPr="007303B7">
        <w:rPr>
          <w:rFonts w:hAnsi="宋体" w:cs="宋体" w:hint="eastAsia"/>
          <w:sz w:val="24"/>
        </w:rPr>
        <w:t>自</w:t>
      </w:r>
      <w:r w:rsidR="00EA0D58" w:rsidRPr="007303B7">
        <w:rPr>
          <w:rFonts w:hAnsi="宋体" w:cs="宋体"/>
          <w:sz w:val="24"/>
        </w:rPr>
        <w:t>2021</w:t>
      </w:r>
      <w:r w:rsidR="00EA0D58" w:rsidRPr="007303B7">
        <w:rPr>
          <w:rFonts w:hAnsi="宋体" w:cs="宋体" w:hint="eastAsia"/>
          <w:sz w:val="24"/>
        </w:rPr>
        <w:t>年</w:t>
      </w:r>
      <w:r w:rsidR="00EA0D58" w:rsidRPr="007303B7">
        <w:rPr>
          <w:rFonts w:hAnsi="宋体" w:cs="宋体"/>
          <w:sz w:val="24"/>
        </w:rPr>
        <w:t>1</w:t>
      </w:r>
      <w:r w:rsidR="00EA0D58" w:rsidRPr="007303B7">
        <w:rPr>
          <w:rFonts w:hAnsi="宋体" w:cs="宋体" w:hint="eastAsia"/>
          <w:sz w:val="24"/>
        </w:rPr>
        <w:t>月</w:t>
      </w:r>
      <w:r w:rsidR="00924F91" w:rsidRPr="007303B7">
        <w:rPr>
          <w:rFonts w:hAnsi="宋体" w:cs="宋体"/>
          <w:sz w:val="24"/>
        </w:rPr>
        <w:t>9</w:t>
      </w:r>
      <w:r w:rsidR="00EA0D58" w:rsidRPr="007303B7">
        <w:rPr>
          <w:rFonts w:hAnsi="宋体" w:cs="宋体" w:hint="eastAsia"/>
          <w:sz w:val="24"/>
        </w:rPr>
        <w:t>日起，本基金</w:t>
      </w:r>
      <w:r w:rsidR="005668AA" w:rsidRPr="007303B7">
        <w:rPr>
          <w:rFonts w:hAnsi="宋体" w:cs="宋体" w:hint="eastAsia"/>
          <w:sz w:val="24"/>
        </w:rPr>
        <w:t>相关法律文件的</w:t>
      </w:r>
      <w:r w:rsidR="00EA0D58" w:rsidRPr="007303B7">
        <w:rPr>
          <w:rFonts w:hAnsi="宋体" w:cs="宋体" w:hint="eastAsia"/>
          <w:sz w:val="24"/>
        </w:rPr>
        <w:t>修订</w:t>
      </w:r>
      <w:r w:rsidR="00270B51" w:rsidRPr="007303B7">
        <w:rPr>
          <w:rFonts w:hAnsi="宋体" w:cs="宋体" w:hint="eastAsia"/>
          <w:sz w:val="24"/>
        </w:rPr>
        <w:t>内容</w:t>
      </w:r>
      <w:r w:rsidR="00EA0D58" w:rsidRPr="007303B7">
        <w:rPr>
          <w:rFonts w:hAnsi="宋体" w:cs="宋体" w:hint="eastAsia"/>
          <w:sz w:val="24"/>
        </w:rPr>
        <w:t>生效。</w:t>
      </w:r>
      <w:r w:rsidR="00E404CA" w:rsidRPr="007303B7">
        <w:rPr>
          <w:rFonts w:hAnsi="宋体" w:cs="宋体" w:hint="eastAsia"/>
          <w:sz w:val="24"/>
        </w:rPr>
        <w:t>现将</w:t>
      </w:r>
      <w:r w:rsidR="008309BD" w:rsidRPr="007303B7">
        <w:rPr>
          <w:rFonts w:hAnsi="宋体" w:cs="宋体" w:hint="eastAsia"/>
          <w:sz w:val="24"/>
        </w:rPr>
        <w:t>修订及</w:t>
      </w:r>
      <w:r w:rsidR="00E404CA" w:rsidRPr="007303B7">
        <w:rPr>
          <w:rFonts w:hAnsi="宋体" w:cs="宋体" w:hint="eastAsia"/>
          <w:sz w:val="24"/>
        </w:rPr>
        <w:t>相关</w:t>
      </w:r>
      <w:r w:rsidR="006E654F" w:rsidRPr="007303B7">
        <w:rPr>
          <w:rFonts w:hAnsi="宋体" w:cs="宋体" w:hint="eastAsia"/>
          <w:sz w:val="24"/>
        </w:rPr>
        <w:t>安排</w:t>
      </w:r>
      <w:r w:rsidR="00E404CA" w:rsidRPr="007303B7">
        <w:rPr>
          <w:rFonts w:hAnsi="宋体" w:cs="宋体" w:hint="eastAsia"/>
          <w:sz w:val="24"/>
        </w:rPr>
        <w:t>公告如下：</w:t>
      </w:r>
    </w:p>
    <w:p w:rsidR="00481F88" w:rsidRPr="007303B7" w:rsidRDefault="001F2143" w:rsidP="00481F88">
      <w:pPr>
        <w:pStyle w:val="a3"/>
        <w:ind w:right="84" w:firstLine="482"/>
        <w:textAlignment w:val="baseline"/>
        <w:rPr>
          <w:rFonts w:hAnsi="宋体" w:cs="宋体"/>
          <w:b/>
          <w:iCs/>
          <w:sz w:val="24"/>
        </w:rPr>
      </w:pPr>
      <w:r w:rsidRPr="007303B7">
        <w:rPr>
          <w:rFonts w:hAnsi="宋体" w:cs="宋体" w:hint="eastAsia"/>
          <w:b/>
          <w:iCs/>
          <w:sz w:val="24"/>
        </w:rPr>
        <w:t>一、基金合同</w:t>
      </w:r>
      <w:r w:rsidR="00A70F21" w:rsidRPr="007303B7">
        <w:rPr>
          <w:rFonts w:hAnsi="宋体" w:cs="宋体" w:hint="eastAsia"/>
          <w:b/>
          <w:iCs/>
          <w:sz w:val="24"/>
        </w:rPr>
        <w:t>修订</w:t>
      </w:r>
      <w:r w:rsidRPr="007303B7">
        <w:rPr>
          <w:rFonts w:hAnsi="宋体" w:cs="宋体" w:hint="eastAsia"/>
          <w:b/>
          <w:iCs/>
          <w:sz w:val="24"/>
        </w:rPr>
        <w:t>内容</w:t>
      </w:r>
    </w:p>
    <w:p w:rsidR="001F2143" w:rsidRPr="007303B7" w:rsidRDefault="001F2143" w:rsidP="003156BF">
      <w:pPr>
        <w:pStyle w:val="a3"/>
        <w:spacing w:line="360" w:lineRule="auto"/>
        <w:ind w:right="84" w:firstLine="480"/>
        <w:textAlignment w:val="baseline"/>
        <w:rPr>
          <w:rFonts w:hAnsi="宋体" w:cs="宋体"/>
          <w:sz w:val="24"/>
        </w:rPr>
      </w:pPr>
      <w:r w:rsidRPr="007303B7">
        <w:rPr>
          <w:rFonts w:hAnsi="宋体" w:cs="宋体" w:hint="eastAsia"/>
          <w:sz w:val="24"/>
        </w:rPr>
        <w:t>本次基金合同修订内容包括变更本基金的登记机构、增加基金份额上市安排，并删除了相关章节中指定期间及</w:t>
      </w:r>
      <w:r w:rsidRPr="007303B7">
        <w:rPr>
          <w:rFonts w:hAnsi="宋体" w:cs="宋体"/>
          <w:sz w:val="24"/>
        </w:rPr>
        <w:t>B</w:t>
      </w:r>
      <w:r w:rsidRPr="007303B7">
        <w:rPr>
          <w:rFonts w:hAnsi="宋体" w:cs="宋体" w:hint="eastAsia"/>
          <w:sz w:val="24"/>
        </w:rPr>
        <w:t>类基金份额有关内容等，具体修订内容详见修订后的基金合同。</w:t>
      </w:r>
    </w:p>
    <w:p w:rsidR="003A3EBF" w:rsidRPr="007303B7" w:rsidRDefault="00522EC2" w:rsidP="00213257">
      <w:pPr>
        <w:spacing w:line="360" w:lineRule="auto"/>
        <w:ind w:firstLineChars="200" w:firstLine="480"/>
        <w:textAlignment w:val="baseline"/>
        <w:rPr>
          <w:rFonts w:hAnsi="宋体" w:cs="宋体"/>
          <w:sz w:val="24"/>
        </w:rPr>
      </w:pPr>
      <w:r w:rsidRPr="007303B7">
        <w:rPr>
          <w:rFonts w:ascii="宋体" w:eastAsia="宋体" w:hAnsi="宋体" w:cs="宋体" w:hint="eastAsia"/>
          <w:bCs/>
          <w:iCs/>
          <w:sz w:val="24"/>
          <w:szCs w:val="24"/>
        </w:rPr>
        <w:t>本次修订对基金份额持有人利益无实质性不利影响，并已履行规定程序，符合相关法律法规及基金合同的规定。</w:t>
      </w:r>
    </w:p>
    <w:p w:rsidR="00E562B7" w:rsidRPr="007303B7" w:rsidRDefault="0034032C" w:rsidP="00E562B7">
      <w:pPr>
        <w:spacing w:line="360" w:lineRule="auto"/>
        <w:ind w:right="84" w:firstLineChars="200" w:firstLine="482"/>
        <w:textAlignment w:val="baseline"/>
        <w:rPr>
          <w:rFonts w:cs="宋体"/>
          <w:b/>
          <w:bCs/>
          <w:sz w:val="24"/>
          <w:szCs w:val="24"/>
        </w:rPr>
      </w:pPr>
      <w:r w:rsidRPr="007303B7">
        <w:rPr>
          <w:rFonts w:cs="宋体" w:hint="eastAsia"/>
          <w:b/>
          <w:sz w:val="24"/>
        </w:rPr>
        <w:t>二、</w:t>
      </w:r>
      <w:r w:rsidR="00C0570B" w:rsidRPr="007303B7">
        <w:rPr>
          <w:rFonts w:cs="宋体" w:hint="eastAsia"/>
          <w:b/>
          <w:sz w:val="24"/>
        </w:rPr>
        <w:t>具体</w:t>
      </w:r>
      <w:r w:rsidR="00E562B7" w:rsidRPr="007303B7">
        <w:rPr>
          <w:rFonts w:cs="宋体" w:hint="eastAsia"/>
          <w:b/>
          <w:bCs/>
          <w:sz w:val="24"/>
          <w:szCs w:val="24"/>
        </w:rPr>
        <w:t>实施安排</w:t>
      </w:r>
    </w:p>
    <w:p w:rsidR="00E303F6" w:rsidRPr="007303B7" w:rsidRDefault="00E303F6" w:rsidP="00B723F7">
      <w:pPr>
        <w:pStyle w:val="a3"/>
        <w:spacing w:line="360" w:lineRule="auto"/>
        <w:ind w:right="84" w:firstLine="480"/>
        <w:textAlignment w:val="baseline"/>
        <w:rPr>
          <w:rFonts w:hAnsi="宋体" w:cs="宋体"/>
          <w:sz w:val="24"/>
        </w:rPr>
      </w:pPr>
      <w:r w:rsidRPr="007303B7">
        <w:rPr>
          <w:rFonts w:hAnsi="宋体" w:cs="宋体" w:hint="eastAsia"/>
          <w:sz w:val="24"/>
        </w:rPr>
        <w:t>（一）</w:t>
      </w:r>
      <w:r w:rsidR="00A70F21" w:rsidRPr="007303B7">
        <w:rPr>
          <w:rFonts w:hAnsi="宋体" w:cs="宋体" w:hint="eastAsia"/>
          <w:sz w:val="24"/>
        </w:rPr>
        <w:t>变更</w:t>
      </w:r>
      <w:r w:rsidRPr="007303B7">
        <w:rPr>
          <w:rFonts w:hAnsi="宋体" w:cs="宋体" w:hint="eastAsia"/>
          <w:sz w:val="24"/>
        </w:rPr>
        <w:t>登记机构</w:t>
      </w:r>
      <w:r w:rsidR="00F62615" w:rsidRPr="007303B7">
        <w:rPr>
          <w:rFonts w:hAnsi="宋体" w:cs="宋体" w:hint="eastAsia"/>
          <w:sz w:val="24"/>
        </w:rPr>
        <w:t>和基金代码</w:t>
      </w:r>
    </w:p>
    <w:p w:rsidR="00B82620" w:rsidRPr="007303B7" w:rsidRDefault="00E303F6" w:rsidP="00A70F21">
      <w:pPr>
        <w:pStyle w:val="a3"/>
        <w:spacing w:line="360" w:lineRule="auto"/>
        <w:ind w:right="84" w:firstLine="480"/>
        <w:textAlignment w:val="baseline"/>
        <w:rPr>
          <w:rFonts w:hAnsi="宋体" w:cs="宋体"/>
          <w:sz w:val="24"/>
        </w:rPr>
      </w:pPr>
      <w:r w:rsidRPr="007303B7">
        <w:rPr>
          <w:rFonts w:hAnsi="宋体" w:cs="宋体" w:hint="eastAsia"/>
          <w:sz w:val="24"/>
        </w:rPr>
        <w:t>本基金登记机构由</w:t>
      </w:r>
      <w:r w:rsidR="00417B45" w:rsidRPr="007303B7">
        <w:rPr>
          <w:rFonts w:hAnsi="宋体" w:cs="宋体" w:hint="eastAsia"/>
          <w:sz w:val="24"/>
        </w:rPr>
        <w:t>鹏华</w:t>
      </w:r>
      <w:r w:rsidR="00C35BF7" w:rsidRPr="007303B7">
        <w:rPr>
          <w:rFonts w:hAnsi="宋体" w:cs="宋体" w:hint="eastAsia"/>
          <w:sz w:val="24"/>
        </w:rPr>
        <w:t>基金管理有限公司</w:t>
      </w:r>
      <w:r w:rsidRPr="007303B7">
        <w:rPr>
          <w:rFonts w:hAnsi="宋体" w:cs="宋体" w:hint="eastAsia"/>
          <w:sz w:val="24"/>
        </w:rPr>
        <w:t>变更为中国证券登记结算有限责任公司</w:t>
      </w:r>
      <w:r w:rsidR="00D92F96" w:rsidRPr="007303B7">
        <w:rPr>
          <w:rFonts w:hAnsi="宋体" w:cs="宋体" w:hint="eastAsia"/>
          <w:sz w:val="24"/>
        </w:rPr>
        <w:t>，</w:t>
      </w:r>
      <w:r w:rsidR="00016EB1" w:rsidRPr="007303B7">
        <w:rPr>
          <w:rFonts w:hAnsi="宋体" w:cs="宋体" w:hint="eastAsia"/>
          <w:sz w:val="24"/>
        </w:rPr>
        <w:t>基金份额持有人原登记在</w:t>
      </w:r>
      <w:r w:rsidR="00417B45" w:rsidRPr="007303B7">
        <w:rPr>
          <w:rFonts w:hAnsi="宋体" w:cs="宋体" w:hint="eastAsia"/>
          <w:sz w:val="24"/>
        </w:rPr>
        <w:t>鹏华</w:t>
      </w:r>
      <w:r w:rsidR="00016EB1" w:rsidRPr="007303B7">
        <w:rPr>
          <w:rFonts w:hAnsi="宋体" w:cs="宋体" w:hint="eastAsia"/>
          <w:sz w:val="24"/>
        </w:rPr>
        <w:t>基金管理有限公司注册登记系统的基金份额全部转登记至中国证券登记结算有限责任公司登记结算系统</w:t>
      </w:r>
      <w:r w:rsidR="00A70F21" w:rsidRPr="007303B7">
        <w:rPr>
          <w:rFonts w:hAnsi="宋体" w:cs="宋体"/>
          <w:sz w:val="24"/>
        </w:rPr>
        <w:t>，</w:t>
      </w:r>
      <w:r w:rsidR="00B82620" w:rsidRPr="007303B7">
        <w:rPr>
          <w:rFonts w:hAnsi="宋体" w:cs="宋体" w:hint="eastAsia"/>
          <w:sz w:val="24"/>
        </w:rPr>
        <w:t>转登记后</w:t>
      </w:r>
      <w:r w:rsidR="00B82620" w:rsidRPr="007303B7">
        <w:rPr>
          <w:rFonts w:hAnsi="宋体" w:cs="宋体"/>
          <w:sz w:val="24"/>
        </w:rPr>
        <w:t>的基金份额为</w:t>
      </w:r>
      <w:r w:rsidR="00B82620" w:rsidRPr="007303B7">
        <w:rPr>
          <w:rFonts w:hAnsi="宋体" w:cs="宋体" w:hint="eastAsia"/>
          <w:sz w:val="24"/>
        </w:rPr>
        <w:t>场外</w:t>
      </w:r>
      <w:r w:rsidR="00B82620" w:rsidRPr="007303B7">
        <w:rPr>
          <w:rFonts w:hAnsi="宋体" w:cs="宋体"/>
          <w:sz w:val="24"/>
        </w:rPr>
        <w:t>份额</w:t>
      </w:r>
      <w:r w:rsidR="00B82620" w:rsidRPr="007303B7">
        <w:rPr>
          <w:rFonts w:hAnsi="宋体" w:cs="宋体" w:hint="eastAsia"/>
          <w:sz w:val="24"/>
        </w:rPr>
        <w:t>。</w:t>
      </w:r>
    </w:p>
    <w:p w:rsidR="00E303F6" w:rsidRPr="007303B7" w:rsidRDefault="00A70F21" w:rsidP="00A70F21">
      <w:pPr>
        <w:pStyle w:val="a3"/>
        <w:spacing w:line="360" w:lineRule="auto"/>
        <w:ind w:right="84" w:firstLine="480"/>
        <w:textAlignment w:val="baseline"/>
      </w:pPr>
      <w:r w:rsidRPr="007303B7">
        <w:rPr>
          <w:rFonts w:hAnsi="宋体" w:cs="宋体" w:hint="eastAsia"/>
          <w:sz w:val="24"/>
        </w:rPr>
        <w:t>本基金</w:t>
      </w:r>
      <w:r w:rsidR="00EA4662" w:rsidRPr="007303B7">
        <w:rPr>
          <w:rFonts w:hAnsi="宋体" w:cs="宋体" w:hint="eastAsia"/>
          <w:sz w:val="24"/>
        </w:rPr>
        <w:t>的</w:t>
      </w:r>
      <w:r w:rsidRPr="007303B7">
        <w:rPr>
          <w:rFonts w:hAnsi="宋体" w:cs="宋体" w:hint="eastAsia"/>
          <w:sz w:val="24"/>
        </w:rPr>
        <w:t>基金代码</w:t>
      </w:r>
      <w:r w:rsidR="00F62615" w:rsidRPr="007303B7">
        <w:rPr>
          <w:rFonts w:hAnsi="宋体" w:cs="宋体" w:hint="eastAsia"/>
          <w:sz w:val="24"/>
        </w:rPr>
        <w:t>相应</w:t>
      </w:r>
      <w:r w:rsidRPr="007303B7">
        <w:rPr>
          <w:rFonts w:hAnsi="宋体" w:cs="宋体" w:hint="eastAsia"/>
          <w:sz w:val="24"/>
        </w:rPr>
        <w:t>变更为</w:t>
      </w:r>
      <w:r w:rsidR="00417B45" w:rsidRPr="007303B7">
        <w:rPr>
          <w:rFonts w:hAnsi="宋体" w:cs="宋体"/>
          <w:sz w:val="24"/>
        </w:rPr>
        <w:t>501205</w:t>
      </w:r>
      <w:r w:rsidRPr="007303B7">
        <w:rPr>
          <w:rFonts w:hAnsi="宋体" w:cs="宋体"/>
          <w:sz w:val="24"/>
        </w:rPr>
        <w:t>。</w:t>
      </w:r>
    </w:p>
    <w:p w:rsidR="00E303F6" w:rsidRPr="007303B7" w:rsidRDefault="00B723F7" w:rsidP="00B723F7">
      <w:pPr>
        <w:pStyle w:val="a3"/>
        <w:spacing w:line="360" w:lineRule="auto"/>
        <w:ind w:right="84" w:firstLine="480"/>
        <w:textAlignment w:val="baseline"/>
        <w:rPr>
          <w:rFonts w:hAnsi="宋体" w:cs="宋体"/>
          <w:sz w:val="24"/>
        </w:rPr>
      </w:pPr>
      <w:r w:rsidRPr="007303B7">
        <w:rPr>
          <w:rFonts w:hAnsi="宋体" w:cs="宋体"/>
          <w:sz w:val="24"/>
        </w:rPr>
        <w:t>（</w:t>
      </w:r>
      <w:r w:rsidR="004142B0" w:rsidRPr="007303B7">
        <w:rPr>
          <w:rFonts w:hAnsi="宋体" w:cs="宋体" w:hint="eastAsia"/>
          <w:sz w:val="24"/>
        </w:rPr>
        <w:t>二</w:t>
      </w:r>
      <w:r w:rsidRPr="007303B7">
        <w:rPr>
          <w:rFonts w:hAnsi="宋体" w:cs="宋体" w:hint="eastAsia"/>
          <w:sz w:val="24"/>
        </w:rPr>
        <w:t>）</w:t>
      </w:r>
      <w:r w:rsidR="003C445E" w:rsidRPr="007303B7">
        <w:rPr>
          <w:rFonts w:hAnsi="宋体" w:cs="宋体" w:hint="eastAsia"/>
          <w:sz w:val="24"/>
        </w:rPr>
        <w:t>上市前</w:t>
      </w:r>
      <w:r w:rsidRPr="007303B7">
        <w:rPr>
          <w:rFonts w:hAnsi="宋体" w:cs="宋体" w:hint="eastAsia"/>
          <w:sz w:val="24"/>
        </w:rPr>
        <w:t>跨系统转托管</w:t>
      </w:r>
      <w:r w:rsidR="008309BD" w:rsidRPr="007303B7">
        <w:rPr>
          <w:rFonts w:hAnsi="宋体" w:cs="宋体" w:hint="eastAsia"/>
          <w:sz w:val="24"/>
        </w:rPr>
        <w:t>业务办理</w:t>
      </w:r>
    </w:p>
    <w:p w:rsidR="00A707F2" w:rsidRPr="007303B7" w:rsidRDefault="00B723F7" w:rsidP="00EC740E">
      <w:pPr>
        <w:pStyle w:val="a3"/>
        <w:spacing w:line="360" w:lineRule="auto"/>
        <w:ind w:right="84" w:firstLine="480"/>
        <w:textAlignment w:val="baseline"/>
        <w:rPr>
          <w:rFonts w:hAnsi="宋体" w:cs="宋体"/>
          <w:sz w:val="24"/>
        </w:rPr>
      </w:pPr>
      <w:r w:rsidRPr="007303B7">
        <w:rPr>
          <w:rFonts w:hAnsi="宋体" w:cs="宋体" w:hint="eastAsia"/>
          <w:sz w:val="24"/>
        </w:rPr>
        <w:t>基金管理人向上海证券交易所、中国证券登记结算有限责任公司提出申请，自</w:t>
      </w:r>
      <w:r w:rsidRPr="007303B7">
        <w:rPr>
          <w:rFonts w:hAnsi="宋体" w:cs="宋体" w:hint="eastAsia"/>
          <w:sz w:val="24"/>
        </w:rPr>
        <w:t>202</w:t>
      </w:r>
      <w:r w:rsidR="00927175" w:rsidRPr="007303B7">
        <w:rPr>
          <w:rFonts w:hAnsi="宋体" w:cs="宋体" w:hint="eastAsia"/>
          <w:sz w:val="24"/>
        </w:rPr>
        <w:t>1</w:t>
      </w:r>
      <w:r w:rsidRPr="007303B7">
        <w:rPr>
          <w:rFonts w:hAnsi="宋体" w:cs="宋体" w:hint="eastAsia"/>
          <w:sz w:val="24"/>
        </w:rPr>
        <w:t>年</w:t>
      </w:r>
      <w:r w:rsidR="00927175" w:rsidRPr="007303B7">
        <w:rPr>
          <w:rFonts w:hAnsi="宋体" w:cs="宋体" w:hint="eastAsia"/>
          <w:sz w:val="24"/>
        </w:rPr>
        <w:t>1</w:t>
      </w:r>
      <w:r w:rsidRPr="007303B7">
        <w:rPr>
          <w:rFonts w:hAnsi="宋体" w:cs="宋体" w:hint="eastAsia"/>
          <w:sz w:val="24"/>
        </w:rPr>
        <w:t>月</w:t>
      </w:r>
      <w:r w:rsidR="00927175" w:rsidRPr="007303B7">
        <w:rPr>
          <w:rFonts w:hAnsi="宋体" w:cs="宋体" w:hint="eastAsia"/>
          <w:sz w:val="24"/>
        </w:rPr>
        <w:t>11</w:t>
      </w:r>
      <w:r w:rsidRPr="007303B7">
        <w:rPr>
          <w:rFonts w:hAnsi="宋体" w:cs="宋体" w:hint="eastAsia"/>
          <w:sz w:val="24"/>
        </w:rPr>
        <w:t>日至</w:t>
      </w:r>
      <w:r w:rsidRPr="007303B7">
        <w:rPr>
          <w:rFonts w:hAnsi="宋体" w:cs="宋体" w:hint="eastAsia"/>
          <w:sz w:val="24"/>
        </w:rPr>
        <w:t>202</w:t>
      </w:r>
      <w:r w:rsidR="00927175" w:rsidRPr="007303B7">
        <w:rPr>
          <w:rFonts w:hAnsi="宋体" w:cs="宋体" w:hint="eastAsia"/>
          <w:sz w:val="24"/>
        </w:rPr>
        <w:t>1</w:t>
      </w:r>
      <w:r w:rsidRPr="007303B7">
        <w:rPr>
          <w:rFonts w:hAnsi="宋体" w:cs="宋体" w:hint="eastAsia"/>
          <w:sz w:val="24"/>
        </w:rPr>
        <w:t>年</w:t>
      </w:r>
      <w:r w:rsidR="00927175" w:rsidRPr="007303B7">
        <w:rPr>
          <w:rFonts w:hAnsi="宋体" w:cs="宋体" w:hint="eastAsia"/>
          <w:sz w:val="24"/>
        </w:rPr>
        <w:t>1</w:t>
      </w:r>
      <w:r w:rsidRPr="007303B7">
        <w:rPr>
          <w:rFonts w:hAnsi="宋体" w:cs="宋体" w:hint="eastAsia"/>
          <w:sz w:val="24"/>
        </w:rPr>
        <w:t>月</w:t>
      </w:r>
      <w:r w:rsidR="00FB0BF8" w:rsidRPr="007303B7">
        <w:rPr>
          <w:rFonts w:hAnsi="宋体" w:cs="宋体"/>
          <w:sz w:val="24"/>
        </w:rPr>
        <w:t>13</w:t>
      </w:r>
      <w:r w:rsidRPr="007303B7">
        <w:rPr>
          <w:rFonts w:hAnsi="宋体" w:cs="宋体" w:hint="eastAsia"/>
          <w:sz w:val="24"/>
        </w:rPr>
        <w:t>日开通本基金的跨系统转托管业务，</w:t>
      </w:r>
      <w:r w:rsidR="00042EF4" w:rsidRPr="007303B7">
        <w:rPr>
          <w:rFonts w:hint="eastAsia"/>
          <w:kern w:val="0"/>
          <w:sz w:val="24"/>
        </w:rPr>
        <w:t>基金份额持有人在上述期间</w:t>
      </w:r>
      <w:r w:rsidR="00042EF4" w:rsidRPr="007303B7">
        <w:rPr>
          <w:rFonts w:ascii="宋体" w:hAnsi="宋体" w:hint="eastAsia"/>
          <w:kern w:val="0"/>
          <w:sz w:val="24"/>
        </w:rPr>
        <w:t>可通过办理跨系统转托管业务</w:t>
      </w:r>
      <w:r w:rsidR="008309BD" w:rsidRPr="007303B7">
        <w:rPr>
          <w:rFonts w:ascii="宋体" w:hAnsi="宋体" w:hint="eastAsia"/>
          <w:kern w:val="0"/>
          <w:sz w:val="24"/>
        </w:rPr>
        <w:t>将持有的场外份额</w:t>
      </w:r>
      <w:r w:rsidR="00037B85" w:rsidRPr="007303B7">
        <w:rPr>
          <w:rFonts w:hint="eastAsia"/>
          <w:bCs/>
          <w:sz w:val="24"/>
        </w:rPr>
        <w:t>转至</w:t>
      </w:r>
      <w:r w:rsidR="008309BD" w:rsidRPr="007303B7">
        <w:rPr>
          <w:rFonts w:hint="eastAsia"/>
          <w:bCs/>
          <w:sz w:val="24"/>
        </w:rPr>
        <w:t>中国证券</w:t>
      </w:r>
      <w:r w:rsidR="008309BD" w:rsidRPr="007303B7">
        <w:rPr>
          <w:rFonts w:hint="eastAsia"/>
          <w:bCs/>
          <w:sz w:val="24"/>
        </w:rPr>
        <w:lastRenderedPageBreak/>
        <w:t>登记结算有限责任公司上海分公司</w:t>
      </w:r>
      <w:r w:rsidR="00037B85" w:rsidRPr="007303B7">
        <w:rPr>
          <w:rFonts w:hint="eastAsia"/>
          <w:bCs/>
          <w:sz w:val="24"/>
        </w:rPr>
        <w:t>证券登记系统</w:t>
      </w:r>
      <w:r w:rsidR="00042EF4" w:rsidRPr="007303B7">
        <w:rPr>
          <w:rFonts w:ascii="宋体" w:hAnsi="宋体" w:hint="eastAsia"/>
          <w:kern w:val="0"/>
          <w:sz w:val="24"/>
        </w:rPr>
        <w:t>。</w:t>
      </w:r>
      <w:r w:rsidRPr="007303B7">
        <w:rPr>
          <w:rFonts w:hAnsi="宋体" w:cs="宋体" w:hint="eastAsia"/>
          <w:sz w:val="24"/>
        </w:rPr>
        <w:t>跨系统转托管的具体业务需按照</w:t>
      </w:r>
      <w:r w:rsidR="00D81F52" w:rsidRPr="007303B7">
        <w:rPr>
          <w:rFonts w:hAnsi="宋体" w:cs="宋体" w:hint="eastAsia"/>
          <w:sz w:val="24"/>
        </w:rPr>
        <w:t>中国证券登记结算有限责任公司</w:t>
      </w:r>
      <w:r w:rsidRPr="007303B7">
        <w:rPr>
          <w:rFonts w:hAnsi="宋体" w:cs="宋体" w:hint="eastAsia"/>
          <w:sz w:val="24"/>
        </w:rPr>
        <w:t>的相关规定办理。</w:t>
      </w:r>
    </w:p>
    <w:p w:rsidR="00EC740E" w:rsidRPr="007303B7" w:rsidRDefault="00EC740E" w:rsidP="00EC740E">
      <w:pPr>
        <w:pStyle w:val="a3"/>
        <w:spacing w:line="360" w:lineRule="auto"/>
        <w:ind w:right="84" w:firstLine="480"/>
        <w:textAlignment w:val="baseline"/>
        <w:rPr>
          <w:rFonts w:hAnsi="宋体" w:cs="宋体"/>
          <w:sz w:val="24"/>
        </w:rPr>
      </w:pPr>
      <w:r w:rsidRPr="007303B7">
        <w:rPr>
          <w:rFonts w:hAnsi="宋体" w:cs="宋体" w:hint="eastAsia"/>
          <w:sz w:val="24"/>
        </w:rPr>
        <w:t>（</w:t>
      </w:r>
      <w:r w:rsidR="004142B0" w:rsidRPr="007303B7">
        <w:rPr>
          <w:rFonts w:hAnsi="宋体" w:cs="宋体" w:hint="eastAsia"/>
          <w:sz w:val="24"/>
        </w:rPr>
        <w:t>三</w:t>
      </w:r>
      <w:r w:rsidRPr="007303B7">
        <w:rPr>
          <w:rFonts w:hAnsi="宋体" w:cs="宋体" w:hint="eastAsia"/>
          <w:sz w:val="24"/>
        </w:rPr>
        <w:t>）基金份额上市交易</w:t>
      </w:r>
    </w:p>
    <w:p w:rsidR="004142B0" w:rsidRPr="007303B7" w:rsidRDefault="00EC740E" w:rsidP="004142B0">
      <w:pPr>
        <w:pStyle w:val="a3"/>
        <w:spacing w:line="360" w:lineRule="auto"/>
        <w:ind w:right="84" w:firstLine="480"/>
        <w:textAlignment w:val="baseline"/>
        <w:rPr>
          <w:rFonts w:hAnsi="宋体" w:cs="宋体"/>
          <w:sz w:val="24"/>
        </w:rPr>
      </w:pPr>
      <w:r w:rsidRPr="007303B7">
        <w:rPr>
          <w:rFonts w:hAnsi="宋体" w:cs="宋体" w:hint="eastAsia"/>
          <w:sz w:val="24"/>
        </w:rPr>
        <w:t>基金管理人依据《上海证券交易所证券投资基金上市规则》向上海证券交易所申请本基金</w:t>
      </w:r>
      <w:r w:rsidR="00910159">
        <w:rPr>
          <w:rFonts w:hAnsi="宋体" w:cs="宋体" w:hint="eastAsia"/>
          <w:sz w:val="24"/>
        </w:rPr>
        <w:t>基金</w:t>
      </w:r>
      <w:r w:rsidRPr="007303B7">
        <w:rPr>
          <w:rFonts w:hAnsi="宋体" w:cs="宋体" w:hint="eastAsia"/>
          <w:sz w:val="24"/>
        </w:rPr>
        <w:t>份额上市</w:t>
      </w:r>
      <w:r w:rsidR="008309BD" w:rsidRPr="007303B7">
        <w:rPr>
          <w:rFonts w:hAnsi="宋体" w:cs="宋体" w:hint="eastAsia"/>
          <w:sz w:val="24"/>
        </w:rPr>
        <w:t>交易</w:t>
      </w:r>
      <w:r w:rsidR="002D372B" w:rsidRPr="007303B7">
        <w:rPr>
          <w:rFonts w:hAnsi="宋体" w:cs="宋体" w:hint="eastAsia"/>
          <w:sz w:val="24"/>
        </w:rPr>
        <w:t>。</w:t>
      </w:r>
    </w:p>
    <w:p w:rsidR="004142B0" w:rsidRPr="007303B7" w:rsidRDefault="00A70F21" w:rsidP="004142B0">
      <w:pPr>
        <w:pStyle w:val="a3"/>
        <w:spacing w:line="360" w:lineRule="auto"/>
        <w:ind w:right="84" w:firstLine="480"/>
        <w:textAlignment w:val="baseline"/>
        <w:rPr>
          <w:rFonts w:hAnsi="宋体" w:cs="宋体"/>
          <w:sz w:val="24"/>
        </w:rPr>
      </w:pPr>
      <w:r w:rsidRPr="007303B7">
        <w:rPr>
          <w:rFonts w:hAnsi="宋体" w:cs="宋体"/>
          <w:sz w:val="24"/>
        </w:rPr>
        <w:t>1</w:t>
      </w:r>
      <w:r w:rsidR="00E22FF4" w:rsidRPr="007303B7">
        <w:rPr>
          <w:rFonts w:hAnsi="宋体" w:cs="宋体"/>
          <w:sz w:val="24"/>
        </w:rPr>
        <w:t>、</w:t>
      </w:r>
      <w:r w:rsidR="005668AA" w:rsidRPr="007303B7">
        <w:rPr>
          <w:rFonts w:hAnsi="宋体" w:cs="宋体" w:hint="eastAsia"/>
          <w:sz w:val="24"/>
        </w:rPr>
        <w:t>本基金</w:t>
      </w:r>
      <w:r w:rsidR="004142B0" w:rsidRPr="007303B7">
        <w:rPr>
          <w:rFonts w:hint="eastAsia"/>
          <w:kern w:val="0"/>
          <w:sz w:val="24"/>
        </w:rPr>
        <w:t>场内简称：</w:t>
      </w:r>
      <w:r w:rsidR="00417B45" w:rsidRPr="007303B7">
        <w:rPr>
          <w:rFonts w:hint="eastAsia"/>
          <w:kern w:val="0"/>
          <w:sz w:val="24"/>
        </w:rPr>
        <w:t>鹏华创新</w:t>
      </w:r>
      <w:r w:rsidR="004142B0" w:rsidRPr="007303B7">
        <w:rPr>
          <w:rFonts w:hint="eastAsia"/>
          <w:kern w:val="0"/>
          <w:sz w:val="24"/>
        </w:rPr>
        <w:t>，扩位简称：</w:t>
      </w:r>
      <w:r w:rsidR="00417B45" w:rsidRPr="007303B7">
        <w:rPr>
          <w:rFonts w:hint="eastAsia"/>
          <w:kern w:val="0"/>
          <w:sz w:val="24"/>
        </w:rPr>
        <w:t>鹏华创新</w:t>
      </w:r>
      <w:r w:rsidR="00417B45" w:rsidRPr="007303B7">
        <w:rPr>
          <w:kern w:val="0"/>
          <w:sz w:val="24"/>
        </w:rPr>
        <w:t>未来</w:t>
      </w:r>
      <w:r w:rsidR="004142B0" w:rsidRPr="007303B7">
        <w:rPr>
          <w:rFonts w:hAnsi="宋体" w:cs="宋体"/>
          <w:sz w:val="24"/>
        </w:rPr>
        <w:t>。</w:t>
      </w:r>
    </w:p>
    <w:p w:rsidR="00C46CB0" w:rsidRPr="007303B7" w:rsidRDefault="00A70F21" w:rsidP="00EC740E">
      <w:pPr>
        <w:pStyle w:val="a3"/>
        <w:spacing w:line="360" w:lineRule="auto"/>
        <w:ind w:right="84" w:firstLine="480"/>
        <w:textAlignment w:val="baseline"/>
        <w:rPr>
          <w:rFonts w:hAnsi="宋体" w:cs="宋体"/>
          <w:sz w:val="24"/>
        </w:rPr>
      </w:pPr>
      <w:r w:rsidRPr="007303B7">
        <w:rPr>
          <w:rFonts w:hAnsi="宋体" w:cs="宋体" w:hint="eastAsia"/>
          <w:sz w:val="24"/>
        </w:rPr>
        <w:t>2</w:t>
      </w:r>
      <w:r w:rsidR="00E22FF4" w:rsidRPr="007303B7">
        <w:rPr>
          <w:rFonts w:hAnsi="宋体" w:cs="宋体" w:hint="eastAsia"/>
          <w:sz w:val="24"/>
        </w:rPr>
        <w:t>、</w:t>
      </w:r>
      <w:r w:rsidR="007E73B7" w:rsidRPr="007303B7">
        <w:rPr>
          <w:rFonts w:hAnsi="宋体" w:cs="宋体" w:hint="eastAsia"/>
          <w:sz w:val="24"/>
        </w:rPr>
        <w:t>本基金上市交易日期：</w:t>
      </w:r>
      <w:r w:rsidR="00190E4D" w:rsidRPr="007303B7">
        <w:rPr>
          <w:rFonts w:hAnsi="宋体" w:cs="宋体"/>
          <w:sz w:val="24"/>
        </w:rPr>
        <w:t>2021</w:t>
      </w:r>
      <w:r w:rsidR="007E73B7" w:rsidRPr="007303B7">
        <w:rPr>
          <w:rFonts w:hAnsi="宋体" w:cs="宋体" w:hint="eastAsia"/>
          <w:sz w:val="24"/>
        </w:rPr>
        <w:t>年</w:t>
      </w:r>
      <w:r w:rsidR="007E73B7" w:rsidRPr="007303B7">
        <w:rPr>
          <w:rFonts w:hAnsi="宋体" w:cs="宋体"/>
          <w:sz w:val="24"/>
        </w:rPr>
        <w:t>1</w:t>
      </w:r>
      <w:r w:rsidR="007E73B7" w:rsidRPr="007303B7">
        <w:rPr>
          <w:rFonts w:hAnsi="宋体" w:cs="宋体" w:hint="eastAsia"/>
          <w:sz w:val="24"/>
        </w:rPr>
        <w:t>月</w:t>
      </w:r>
      <w:r w:rsidR="00FB0BF8" w:rsidRPr="007303B7">
        <w:rPr>
          <w:rFonts w:hAnsi="宋体" w:cs="宋体"/>
          <w:sz w:val="24"/>
        </w:rPr>
        <w:t>21</w:t>
      </w:r>
      <w:r w:rsidR="007E73B7" w:rsidRPr="007303B7">
        <w:rPr>
          <w:rFonts w:hAnsi="宋体" w:cs="宋体" w:hint="eastAsia"/>
          <w:sz w:val="24"/>
        </w:rPr>
        <w:t>日。</w:t>
      </w:r>
    </w:p>
    <w:p w:rsidR="00E22FF4" w:rsidRPr="007303B7" w:rsidRDefault="00C46CB0" w:rsidP="00EC740E">
      <w:pPr>
        <w:pStyle w:val="a3"/>
        <w:spacing w:line="360" w:lineRule="auto"/>
        <w:ind w:right="84" w:firstLine="480"/>
        <w:textAlignment w:val="baseline"/>
        <w:rPr>
          <w:rFonts w:hAnsi="宋体" w:cs="宋体"/>
          <w:sz w:val="24"/>
        </w:rPr>
      </w:pPr>
      <w:r w:rsidRPr="007303B7">
        <w:rPr>
          <w:rFonts w:hAnsi="宋体" w:cs="宋体" w:hint="eastAsia"/>
          <w:sz w:val="24"/>
        </w:rPr>
        <w:t>本基金自上市交易首日（即</w:t>
      </w:r>
      <w:r w:rsidRPr="007303B7">
        <w:rPr>
          <w:rFonts w:hAnsi="宋体" w:cs="宋体" w:hint="eastAsia"/>
          <w:sz w:val="24"/>
        </w:rPr>
        <w:t>2021</w:t>
      </w:r>
      <w:r w:rsidRPr="007303B7">
        <w:rPr>
          <w:rFonts w:hAnsi="宋体" w:cs="宋体" w:hint="eastAsia"/>
          <w:sz w:val="24"/>
        </w:rPr>
        <w:t>年</w:t>
      </w:r>
      <w:r w:rsidRPr="007303B7">
        <w:rPr>
          <w:rFonts w:hAnsi="宋体" w:cs="宋体" w:hint="eastAsia"/>
          <w:sz w:val="24"/>
        </w:rPr>
        <w:t>1</w:t>
      </w:r>
      <w:r w:rsidRPr="007303B7">
        <w:rPr>
          <w:rFonts w:hAnsi="宋体" w:cs="宋体" w:hint="eastAsia"/>
          <w:sz w:val="24"/>
        </w:rPr>
        <w:t>月</w:t>
      </w:r>
      <w:r w:rsidRPr="007303B7">
        <w:rPr>
          <w:rFonts w:hAnsi="宋体" w:cs="宋体" w:hint="eastAsia"/>
          <w:sz w:val="24"/>
        </w:rPr>
        <w:t>21</w:t>
      </w:r>
      <w:r w:rsidRPr="007303B7">
        <w:rPr>
          <w:rFonts w:hAnsi="宋体" w:cs="宋体" w:hint="eastAsia"/>
          <w:sz w:val="24"/>
        </w:rPr>
        <w:t>日）起</w:t>
      </w:r>
      <w:r w:rsidR="00F62615" w:rsidRPr="007303B7">
        <w:rPr>
          <w:rFonts w:hAnsi="宋体" w:cs="宋体" w:hint="eastAsia"/>
          <w:sz w:val="24"/>
        </w:rPr>
        <w:t>恢复办理</w:t>
      </w:r>
      <w:r w:rsidRPr="007303B7">
        <w:rPr>
          <w:rFonts w:hAnsi="宋体" w:cs="宋体" w:hint="eastAsia"/>
          <w:sz w:val="24"/>
        </w:rPr>
        <w:t>跨系统转托管业务。</w:t>
      </w:r>
      <w:bookmarkStart w:id="0" w:name="_GoBack"/>
      <w:bookmarkEnd w:id="0"/>
    </w:p>
    <w:p w:rsidR="00E16593" w:rsidRPr="007303B7" w:rsidRDefault="000912F2" w:rsidP="00E16593">
      <w:pPr>
        <w:pStyle w:val="a3"/>
        <w:spacing w:line="360" w:lineRule="auto"/>
        <w:ind w:right="84" w:firstLine="482"/>
        <w:textAlignment w:val="baseline"/>
        <w:rPr>
          <w:rFonts w:cs="宋体"/>
          <w:b/>
          <w:sz w:val="24"/>
        </w:rPr>
      </w:pPr>
      <w:r w:rsidRPr="007303B7">
        <w:rPr>
          <w:rFonts w:cs="宋体" w:hint="eastAsia"/>
          <w:b/>
          <w:sz w:val="24"/>
        </w:rPr>
        <w:t>三、</w:t>
      </w:r>
      <w:r w:rsidR="00E16593" w:rsidRPr="007303B7">
        <w:rPr>
          <w:rFonts w:cs="宋体" w:hint="eastAsia"/>
          <w:b/>
          <w:sz w:val="24"/>
        </w:rPr>
        <w:t>其他事项</w:t>
      </w:r>
    </w:p>
    <w:p w:rsidR="00252EAD" w:rsidRPr="007303B7" w:rsidRDefault="00252EAD" w:rsidP="00252EAD">
      <w:pPr>
        <w:spacing w:line="360" w:lineRule="auto"/>
        <w:ind w:firstLineChars="200" w:firstLine="480"/>
        <w:textAlignment w:val="baseline"/>
        <w:rPr>
          <w:rFonts w:cs="宋体"/>
          <w:sz w:val="24"/>
        </w:rPr>
      </w:pPr>
      <w:r w:rsidRPr="007303B7">
        <w:rPr>
          <w:rFonts w:cs="宋体"/>
          <w:sz w:val="24"/>
        </w:rPr>
        <w:t>1</w:t>
      </w:r>
      <w:r w:rsidRPr="007303B7">
        <w:rPr>
          <w:rFonts w:cs="宋体"/>
          <w:sz w:val="24"/>
        </w:rPr>
        <w:t>、</w:t>
      </w:r>
      <w:r w:rsidRPr="007303B7">
        <w:rPr>
          <w:rFonts w:cs="宋体" w:hint="eastAsia"/>
          <w:bCs/>
          <w:iCs/>
          <w:sz w:val="24"/>
          <w:szCs w:val="24"/>
        </w:rPr>
        <w:t>本基金修订后的基金合同、托管协议、招募说明书（更新）、基金产品资料概要（更新）将</w:t>
      </w:r>
      <w:r w:rsidR="005668AA" w:rsidRPr="007303B7">
        <w:rPr>
          <w:rFonts w:cs="宋体" w:hint="eastAsia"/>
          <w:bCs/>
          <w:iCs/>
          <w:sz w:val="24"/>
          <w:szCs w:val="24"/>
        </w:rPr>
        <w:t>于</w:t>
      </w:r>
      <w:r w:rsidR="005668AA" w:rsidRPr="007303B7">
        <w:rPr>
          <w:rFonts w:cs="宋体" w:hint="eastAsia"/>
          <w:bCs/>
          <w:iCs/>
          <w:sz w:val="24"/>
          <w:szCs w:val="24"/>
        </w:rPr>
        <w:t>2021</w:t>
      </w:r>
      <w:r w:rsidR="005668AA" w:rsidRPr="007303B7">
        <w:rPr>
          <w:rFonts w:cs="宋体" w:hint="eastAsia"/>
          <w:bCs/>
          <w:iCs/>
          <w:sz w:val="24"/>
          <w:szCs w:val="24"/>
        </w:rPr>
        <w:t>年</w:t>
      </w:r>
      <w:r w:rsidR="005668AA" w:rsidRPr="007303B7">
        <w:rPr>
          <w:rFonts w:cs="宋体" w:hint="eastAsia"/>
          <w:bCs/>
          <w:iCs/>
          <w:sz w:val="24"/>
          <w:szCs w:val="24"/>
        </w:rPr>
        <w:t>1</w:t>
      </w:r>
      <w:r w:rsidR="005668AA" w:rsidRPr="007303B7">
        <w:rPr>
          <w:rFonts w:cs="宋体" w:hint="eastAsia"/>
          <w:bCs/>
          <w:iCs/>
          <w:sz w:val="24"/>
          <w:szCs w:val="24"/>
        </w:rPr>
        <w:t>月</w:t>
      </w:r>
      <w:r w:rsidR="005668AA" w:rsidRPr="007303B7">
        <w:rPr>
          <w:rFonts w:cs="宋体" w:hint="eastAsia"/>
          <w:bCs/>
          <w:iCs/>
          <w:sz w:val="24"/>
          <w:szCs w:val="24"/>
        </w:rPr>
        <w:t>9</w:t>
      </w:r>
      <w:r w:rsidR="005668AA" w:rsidRPr="007303B7">
        <w:rPr>
          <w:rFonts w:cs="宋体" w:hint="eastAsia"/>
          <w:bCs/>
          <w:iCs/>
          <w:sz w:val="24"/>
          <w:szCs w:val="24"/>
        </w:rPr>
        <w:t>日</w:t>
      </w:r>
      <w:r w:rsidRPr="007303B7">
        <w:rPr>
          <w:rFonts w:cs="宋体" w:hint="eastAsia"/>
          <w:bCs/>
          <w:iCs/>
          <w:sz w:val="24"/>
          <w:szCs w:val="24"/>
        </w:rPr>
        <w:t>登载</w:t>
      </w:r>
      <w:r w:rsidR="00D63D81" w:rsidRPr="007303B7">
        <w:rPr>
          <w:rFonts w:cs="宋体" w:hint="eastAsia"/>
          <w:bCs/>
          <w:iCs/>
          <w:sz w:val="24"/>
          <w:szCs w:val="24"/>
        </w:rPr>
        <w:t>在</w:t>
      </w:r>
      <w:r w:rsidRPr="007303B7">
        <w:rPr>
          <w:rFonts w:cs="宋体" w:hint="eastAsia"/>
          <w:bCs/>
          <w:iCs/>
          <w:sz w:val="24"/>
          <w:szCs w:val="24"/>
        </w:rPr>
        <w:t>本公司网站（</w:t>
      </w:r>
      <w:r w:rsidRPr="007303B7">
        <w:rPr>
          <w:rFonts w:cs="宋体" w:hint="eastAsia"/>
          <w:bCs/>
          <w:iCs/>
          <w:sz w:val="24"/>
          <w:szCs w:val="24"/>
        </w:rPr>
        <w:t>http://www.</w:t>
      </w:r>
      <w:r w:rsidR="00417B45" w:rsidRPr="007303B7">
        <w:rPr>
          <w:rFonts w:cs="宋体"/>
          <w:bCs/>
          <w:iCs/>
          <w:sz w:val="24"/>
          <w:szCs w:val="24"/>
        </w:rPr>
        <w:t>phfund</w:t>
      </w:r>
      <w:r w:rsidRPr="007303B7">
        <w:rPr>
          <w:rFonts w:cs="宋体" w:hint="eastAsia"/>
          <w:bCs/>
          <w:iCs/>
          <w:sz w:val="24"/>
          <w:szCs w:val="24"/>
        </w:rPr>
        <w:t>.com.cn</w:t>
      </w:r>
      <w:r w:rsidRPr="007303B7">
        <w:rPr>
          <w:rFonts w:cs="宋体" w:hint="eastAsia"/>
          <w:bCs/>
          <w:iCs/>
          <w:sz w:val="24"/>
          <w:szCs w:val="24"/>
        </w:rPr>
        <w:t>）及中国证监会基金电子披露网站（</w:t>
      </w:r>
      <w:r w:rsidRPr="007303B7">
        <w:rPr>
          <w:rFonts w:cs="宋体" w:hint="eastAsia"/>
          <w:bCs/>
          <w:iCs/>
          <w:sz w:val="24"/>
          <w:szCs w:val="24"/>
        </w:rPr>
        <w:t>http://eid.csrc.gov.cn/fund</w:t>
      </w:r>
      <w:r w:rsidRPr="007303B7">
        <w:rPr>
          <w:rFonts w:cs="宋体" w:hint="eastAsia"/>
          <w:bCs/>
          <w:iCs/>
          <w:sz w:val="24"/>
          <w:szCs w:val="24"/>
        </w:rPr>
        <w:t>）。</w:t>
      </w:r>
    </w:p>
    <w:p w:rsidR="00E16593" w:rsidRPr="007303B7" w:rsidRDefault="006F5185" w:rsidP="00E16593">
      <w:pPr>
        <w:pStyle w:val="a3"/>
        <w:spacing w:line="360" w:lineRule="auto"/>
        <w:ind w:right="84" w:firstLine="480"/>
        <w:textAlignment w:val="baseline"/>
        <w:rPr>
          <w:rFonts w:hAnsi="宋体" w:cs="宋体"/>
          <w:sz w:val="24"/>
        </w:rPr>
      </w:pPr>
      <w:r w:rsidRPr="007303B7">
        <w:rPr>
          <w:rFonts w:cs="宋体"/>
          <w:sz w:val="24"/>
        </w:rPr>
        <w:t>2</w:t>
      </w:r>
      <w:r w:rsidRPr="007303B7">
        <w:rPr>
          <w:rFonts w:cs="宋体"/>
          <w:sz w:val="24"/>
        </w:rPr>
        <w:t>、</w:t>
      </w:r>
      <w:r w:rsidR="00E16593" w:rsidRPr="007303B7">
        <w:rPr>
          <w:rFonts w:cs="宋体" w:hint="eastAsia"/>
          <w:sz w:val="24"/>
        </w:rPr>
        <w:t>投资者可通过以下途径咨询有关</w:t>
      </w:r>
      <w:r w:rsidR="00E16593" w:rsidRPr="007303B7">
        <w:rPr>
          <w:rFonts w:hAnsi="宋体" w:cs="宋体" w:hint="eastAsia"/>
          <w:sz w:val="24"/>
        </w:rPr>
        <w:t>详情</w:t>
      </w:r>
    </w:p>
    <w:p w:rsidR="00E16593" w:rsidRPr="007303B7" w:rsidRDefault="00E16593" w:rsidP="00E16593">
      <w:pPr>
        <w:pStyle w:val="a3"/>
        <w:spacing w:line="360" w:lineRule="auto"/>
        <w:ind w:right="84" w:firstLine="480"/>
        <w:textAlignment w:val="baseline"/>
        <w:rPr>
          <w:rFonts w:hAnsi="宋体" w:cs="宋体"/>
          <w:sz w:val="24"/>
        </w:rPr>
      </w:pPr>
      <w:r w:rsidRPr="007303B7">
        <w:rPr>
          <w:rFonts w:hAnsi="宋体" w:cs="宋体" w:hint="eastAsia"/>
          <w:sz w:val="24"/>
        </w:rPr>
        <w:t>客户服务电话：</w:t>
      </w:r>
      <w:r w:rsidR="00417B45" w:rsidRPr="007303B7">
        <w:rPr>
          <w:rFonts w:hAnsi="宋体" w:cs="宋体" w:hint="eastAsia"/>
          <w:sz w:val="24"/>
        </w:rPr>
        <w:t>400</w:t>
      </w:r>
      <w:r w:rsidR="00417B45" w:rsidRPr="007303B7">
        <w:rPr>
          <w:rFonts w:hAnsi="宋体" w:cs="宋体" w:hint="eastAsia"/>
          <w:sz w:val="24"/>
        </w:rPr>
        <w:t>－</w:t>
      </w:r>
      <w:r w:rsidR="00417B45" w:rsidRPr="007303B7">
        <w:rPr>
          <w:rFonts w:hAnsi="宋体" w:cs="宋体" w:hint="eastAsia"/>
          <w:sz w:val="24"/>
        </w:rPr>
        <w:t>6788</w:t>
      </w:r>
      <w:r w:rsidR="00417B45" w:rsidRPr="007303B7">
        <w:rPr>
          <w:rFonts w:hAnsi="宋体" w:cs="宋体" w:hint="eastAsia"/>
          <w:sz w:val="24"/>
        </w:rPr>
        <w:t>－</w:t>
      </w:r>
      <w:r w:rsidR="00417B45" w:rsidRPr="007303B7">
        <w:rPr>
          <w:rFonts w:hAnsi="宋体" w:cs="宋体" w:hint="eastAsia"/>
          <w:sz w:val="24"/>
        </w:rPr>
        <w:t>533</w:t>
      </w:r>
      <w:r w:rsidRPr="007303B7">
        <w:rPr>
          <w:rFonts w:hAnsi="宋体" w:cs="宋体"/>
          <w:sz w:val="24"/>
        </w:rPr>
        <w:t xml:space="preserve"> </w:t>
      </w:r>
    </w:p>
    <w:p w:rsidR="00E16593" w:rsidRPr="007303B7" w:rsidRDefault="00E16593" w:rsidP="00E16593">
      <w:pPr>
        <w:pStyle w:val="a3"/>
        <w:spacing w:line="360" w:lineRule="auto"/>
        <w:ind w:right="84" w:firstLine="480"/>
        <w:textAlignment w:val="baseline"/>
        <w:rPr>
          <w:rFonts w:hAnsi="宋体" w:cs="宋体"/>
          <w:sz w:val="24"/>
        </w:rPr>
      </w:pPr>
      <w:r w:rsidRPr="007303B7">
        <w:rPr>
          <w:rFonts w:hAnsi="宋体" w:cs="宋体" w:hint="eastAsia"/>
          <w:sz w:val="24"/>
        </w:rPr>
        <w:t>网址：</w:t>
      </w:r>
      <w:r w:rsidR="00417B45" w:rsidRPr="007303B7">
        <w:rPr>
          <w:rFonts w:hAnsi="宋体" w:cs="宋体"/>
          <w:sz w:val="24"/>
        </w:rPr>
        <w:t>www.phfund.com.cn</w:t>
      </w:r>
    </w:p>
    <w:p w:rsidR="00E16593" w:rsidRPr="007303B7" w:rsidRDefault="006F5185" w:rsidP="00E16593">
      <w:pPr>
        <w:pStyle w:val="a3"/>
        <w:spacing w:line="360" w:lineRule="auto"/>
        <w:ind w:right="84" w:firstLine="480"/>
        <w:textAlignment w:val="baseline"/>
        <w:rPr>
          <w:rFonts w:hAnsi="宋体" w:cs="宋体"/>
          <w:sz w:val="24"/>
        </w:rPr>
      </w:pPr>
      <w:r w:rsidRPr="007303B7">
        <w:rPr>
          <w:rFonts w:hAnsi="宋体" w:cs="宋体"/>
          <w:sz w:val="24"/>
        </w:rPr>
        <w:t>3</w:t>
      </w:r>
      <w:r w:rsidRPr="007303B7">
        <w:rPr>
          <w:rFonts w:hAnsi="宋体" w:cs="宋体"/>
          <w:sz w:val="24"/>
        </w:rPr>
        <w:t>、</w:t>
      </w:r>
      <w:r w:rsidR="00E16593" w:rsidRPr="007303B7">
        <w:rPr>
          <w:rFonts w:hAnsi="宋体" w:cs="宋体" w:hint="eastAsia"/>
          <w:sz w:val="24"/>
        </w:rPr>
        <w:t>风险提示：</w:t>
      </w:r>
    </w:p>
    <w:p w:rsidR="00E16593" w:rsidRPr="007303B7" w:rsidRDefault="00417B45" w:rsidP="00E16593">
      <w:pPr>
        <w:pStyle w:val="a3"/>
        <w:spacing w:line="360" w:lineRule="auto"/>
        <w:ind w:right="84" w:firstLine="480"/>
        <w:textAlignment w:val="baseline"/>
        <w:rPr>
          <w:rFonts w:hAnsi="宋体" w:cs="宋体"/>
          <w:sz w:val="24"/>
        </w:rPr>
      </w:pPr>
      <w:r w:rsidRPr="007303B7">
        <w:rPr>
          <w:rFonts w:hAnsi="宋体" w:cs="宋体" w:hint="eastAsia"/>
          <w:sz w:val="24"/>
        </w:rPr>
        <w:t>本基金管理人承诺以诚实信用、勤勉尽责的原则管理和运用基金财产，但不保证基金一定盈利，也不保证最低收益。基金的过往业绩并不代表其将来表现。销售机构根据法规要求对投资者类别、风险承受能力和基金的风险等级进行划分，并提出适当性匹配意见。基金管理人提醒投资人基金投资的“买者自负”原则，在投资人作出投资决策后，基金运营状况与基金净值变化引致的投资风险，由投资人自行承担。投资有风险，敬请投资者认真阅读基金的相关法律文件，全面认识基金的风险收益特征，在了解基金情况及听取销售机构适当性意见的基础上，根据自身的风险承受能力、投资期限和投资目标，对基金投资作出独立决策，选择合适的基金产品。</w:t>
      </w:r>
    </w:p>
    <w:p w:rsidR="00E16593" w:rsidRPr="007303B7" w:rsidRDefault="00E16593" w:rsidP="00E16593">
      <w:pPr>
        <w:pStyle w:val="a3"/>
        <w:spacing w:line="360" w:lineRule="auto"/>
        <w:ind w:right="84" w:firstLine="480"/>
        <w:textAlignment w:val="baseline"/>
        <w:rPr>
          <w:rFonts w:hAnsi="宋体" w:cs="宋体"/>
          <w:sz w:val="24"/>
        </w:rPr>
      </w:pPr>
      <w:r w:rsidRPr="007303B7">
        <w:rPr>
          <w:rFonts w:hAnsi="宋体" w:cs="宋体" w:hint="eastAsia"/>
          <w:sz w:val="24"/>
        </w:rPr>
        <w:t>特此公告。</w:t>
      </w:r>
    </w:p>
    <w:p w:rsidR="00E16593" w:rsidRPr="007303B7" w:rsidRDefault="00417B45" w:rsidP="00417B45">
      <w:pPr>
        <w:wordWrap w:val="0"/>
        <w:spacing w:line="360" w:lineRule="auto"/>
        <w:ind w:right="84" w:firstLineChars="1450" w:firstLine="3480"/>
        <w:jc w:val="right"/>
        <w:textAlignment w:val="baseline"/>
        <w:rPr>
          <w:rFonts w:ascii="宋体" w:hAnsi="宋体"/>
          <w:sz w:val="24"/>
          <w:szCs w:val="24"/>
        </w:rPr>
      </w:pPr>
      <w:r w:rsidRPr="007303B7">
        <w:rPr>
          <w:rFonts w:ascii="宋体" w:hAnsi="宋体" w:hint="eastAsia"/>
          <w:sz w:val="24"/>
          <w:szCs w:val="24"/>
        </w:rPr>
        <w:t>鹏华</w:t>
      </w:r>
      <w:r w:rsidR="00E16593" w:rsidRPr="007303B7">
        <w:rPr>
          <w:rFonts w:ascii="宋体" w:hAnsi="宋体" w:hint="eastAsia"/>
          <w:sz w:val="24"/>
          <w:szCs w:val="24"/>
        </w:rPr>
        <w:t>基金管理有限公司</w:t>
      </w:r>
    </w:p>
    <w:p w:rsidR="00AD71EF" w:rsidRPr="00A81002" w:rsidRDefault="00E16593" w:rsidP="009D3B53">
      <w:pPr>
        <w:pStyle w:val="a3"/>
        <w:spacing w:line="360" w:lineRule="auto"/>
        <w:ind w:right="84" w:firstLineChars="1500" w:firstLine="3600"/>
        <w:jc w:val="right"/>
        <w:textAlignment w:val="baseline"/>
      </w:pPr>
      <w:r w:rsidRPr="007303B7">
        <w:rPr>
          <w:rFonts w:hAnsi="宋体" w:cs="宋体"/>
          <w:sz w:val="24"/>
        </w:rPr>
        <w:t xml:space="preserve"> </w:t>
      </w:r>
      <w:r w:rsidR="007A4BAF" w:rsidRPr="007303B7">
        <w:rPr>
          <w:rFonts w:hAnsi="宋体" w:cs="宋体"/>
          <w:sz w:val="24"/>
        </w:rPr>
        <w:t>2021</w:t>
      </w:r>
      <w:r w:rsidRPr="007303B7">
        <w:rPr>
          <w:rFonts w:hAnsi="宋体" w:cs="宋体" w:hint="eastAsia"/>
          <w:sz w:val="24"/>
        </w:rPr>
        <w:t>年</w:t>
      </w:r>
      <w:r w:rsidR="007A4BAF" w:rsidRPr="007303B7">
        <w:rPr>
          <w:rFonts w:hAnsi="宋体" w:cs="宋体" w:hint="eastAsia"/>
          <w:kern w:val="0"/>
          <w:sz w:val="24"/>
        </w:rPr>
        <w:t>1</w:t>
      </w:r>
      <w:r w:rsidRPr="007303B7">
        <w:rPr>
          <w:rFonts w:hAnsi="宋体" w:cs="宋体" w:hint="eastAsia"/>
          <w:kern w:val="0"/>
          <w:sz w:val="24"/>
        </w:rPr>
        <w:t>月</w:t>
      </w:r>
      <w:r w:rsidR="00F6295D" w:rsidRPr="007303B7">
        <w:rPr>
          <w:rFonts w:hAnsi="宋体" w:cs="宋体" w:hint="eastAsia"/>
          <w:kern w:val="0"/>
          <w:sz w:val="24"/>
        </w:rPr>
        <w:t>9</w:t>
      </w:r>
      <w:r w:rsidRPr="007303B7">
        <w:rPr>
          <w:rFonts w:hAnsi="宋体" w:cs="宋体" w:hint="eastAsia"/>
          <w:kern w:val="0"/>
          <w:sz w:val="24"/>
        </w:rPr>
        <w:t>日</w:t>
      </w:r>
    </w:p>
    <w:sectPr w:rsidR="00AD71EF" w:rsidRPr="00A81002" w:rsidSect="004814B2">
      <w:headerReference w:type="default" r:id="rId9"/>
      <w:footerReference w:type="default" r:id="rId10"/>
      <w:pgSz w:w="11906" w:h="16838"/>
      <w:pgMar w:top="1440" w:right="1588" w:bottom="1440" w:left="170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8F" w:rsidRDefault="0071468F"/>
  </w:endnote>
  <w:endnote w:type="continuationSeparator" w:id="0">
    <w:p w:rsidR="0071468F" w:rsidRDefault="0071468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AF" w:rsidRPr="004B455C" w:rsidRDefault="001C092D">
    <w:pPr>
      <w:pStyle w:val="aa"/>
      <w:jc w:val="center"/>
      <w:rPr>
        <w:rFonts w:asciiTheme="minorEastAsia" w:hAnsiTheme="minorEastAsia"/>
      </w:rPr>
    </w:pPr>
    <w:r w:rsidRPr="001C092D">
      <w:rPr>
        <w:rFonts w:asciiTheme="minorEastAsia" w:hAnsiTheme="minorEastAsia"/>
      </w:rPr>
      <w:fldChar w:fldCharType="begin"/>
    </w:r>
    <w:r w:rsidR="00994C2D" w:rsidRPr="004B455C">
      <w:rPr>
        <w:rFonts w:asciiTheme="minorEastAsia" w:hAnsiTheme="minorEastAsia"/>
      </w:rPr>
      <w:instrText xml:space="preserve"> PAGE   \* MERGEFORMAT </w:instrText>
    </w:r>
    <w:r w:rsidRPr="001C092D">
      <w:rPr>
        <w:rFonts w:asciiTheme="minorEastAsia" w:hAnsiTheme="minorEastAsia"/>
      </w:rPr>
      <w:fldChar w:fldCharType="separate"/>
    </w:r>
    <w:r w:rsidR="00C84192" w:rsidRPr="00C84192">
      <w:rPr>
        <w:rFonts w:asciiTheme="minorEastAsia" w:hAnsiTheme="minorEastAsia"/>
        <w:noProof/>
        <w:lang w:val="zh-CN"/>
      </w:rPr>
      <w:t>1</w:t>
    </w:r>
    <w:r w:rsidRPr="004B455C">
      <w:rPr>
        <w:rFonts w:asciiTheme="minorEastAsia" w:hAnsiTheme="minorEastAsia"/>
        <w:noProof/>
        <w:lang w:val="zh-CN"/>
      </w:rPr>
      <w:fldChar w:fldCharType="end"/>
    </w:r>
  </w:p>
  <w:p w:rsidR="00D32FAF" w:rsidRPr="003B415C" w:rsidRDefault="00C84192" w:rsidP="00DA1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8F" w:rsidRDefault="0071468F"/>
  </w:footnote>
  <w:footnote w:type="continuationSeparator" w:id="0">
    <w:p w:rsidR="0071468F" w:rsidRDefault="007146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AF" w:rsidRDefault="00C84192" w:rsidP="005403FC"/>
  <w:p w:rsidR="00D32FAF" w:rsidRPr="003406CA" w:rsidRDefault="00994C2D" w:rsidP="005403FC">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8CD"/>
    <w:multiLevelType w:val="hybridMultilevel"/>
    <w:tmpl w:val="D4C89DE2"/>
    <w:lvl w:ilvl="0" w:tplc="80AE2EB2">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AC2"/>
    <w:rsid w:val="0001245F"/>
    <w:rsid w:val="000151AE"/>
    <w:rsid w:val="00016684"/>
    <w:rsid w:val="0001682C"/>
    <w:rsid w:val="00016EB1"/>
    <w:rsid w:val="00017989"/>
    <w:rsid w:val="000210E6"/>
    <w:rsid w:val="0002185E"/>
    <w:rsid w:val="0002691E"/>
    <w:rsid w:val="00035648"/>
    <w:rsid w:val="000358E7"/>
    <w:rsid w:val="00037B85"/>
    <w:rsid w:val="00042630"/>
    <w:rsid w:val="00042EF4"/>
    <w:rsid w:val="0004748A"/>
    <w:rsid w:val="000503E5"/>
    <w:rsid w:val="00053983"/>
    <w:rsid w:val="00056645"/>
    <w:rsid w:val="0006271A"/>
    <w:rsid w:val="00065319"/>
    <w:rsid w:val="0007075F"/>
    <w:rsid w:val="00070D88"/>
    <w:rsid w:val="0007650F"/>
    <w:rsid w:val="000912F2"/>
    <w:rsid w:val="000940EB"/>
    <w:rsid w:val="000A15CD"/>
    <w:rsid w:val="000A26F6"/>
    <w:rsid w:val="000A3826"/>
    <w:rsid w:val="000A3BDB"/>
    <w:rsid w:val="000A5615"/>
    <w:rsid w:val="000B0E74"/>
    <w:rsid w:val="000B3110"/>
    <w:rsid w:val="000B3BD6"/>
    <w:rsid w:val="000B5DF2"/>
    <w:rsid w:val="000B74A6"/>
    <w:rsid w:val="000C4C75"/>
    <w:rsid w:val="000C630E"/>
    <w:rsid w:val="000C64B0"/>
    <w:rsid w:val="000D30AF"/>
    <w:rsid w:val="000D426E"/>
    <w:rsid w:val="000D4D5D"/>
    <w:rsid w:val="000E08B2"/>
    <w:rsid w:val="000E4BF7"/>
    <w:rsid w:val="000E669C"/>
    <w:rsid w:val="000F0119"/>
    <w:rsid w:val="000F2B4C"/>
    <w:rsid w:val="000F5551"/>
    <w:rsid w:val="000F6A4C"/>
    <w:rsid w:val="000F79BC"/>
    <w:rsid w:val="0010193F"/>
    <w:rsid w:val="00102C43"/>
    <w:rsid w:val="00112075"/>
    <w:rsid w:val="0011257C"/>
    <w:rsid w:val="0011354A"/>
    <w:rsid w:val="00114FC9"/>
    <w:rsid w:val="00115C0D"/>
    <w:rsid w:val="0011768C"/>
    <w:rsid w:val="00123F6E"/>
    <w:rsid w:val="00125E94"/>
    <w:rsid w:val="0012711B"/>
    <w:rsid w:val="00133ECA"/>
    <w:rsid w:val="00144B26"/>
    <w:rsid w:val="00150AD3"/>
    <w:rsid w:val="001547BF"/>
    <w:rsid w:val="00156B06"/>
    <w:rsid w:val="00161688"/>
    <w:rsid w:val="00161D62"/>
    <w:rsid w:val="00162CDB"/>
    <w:rsid w:val="00163DE4"/>
    <w:rsid w:val="00164BB2"/>
    <w:rsid w:val="00164EE3"/>
    <w:rsid w:val="00166760"/>
    <w:rsid w:val="00167D27"/>
    <w:rsid w:val="00170216"/>
    <w:rsid w:val="001702C4"/>
    <w:rsid w:val="001707B7"/>
    <w:rsid w:val="00175473"/>
    <w:rsid w:val="00176D69"/>
    <w:rsid w:val="00182AD3"/>
    <w:rsid w:val="00183B90"/>
    <w:rsid w:val="00184C9E"/>
    <w:rsid w:val="00186C82"/>
    <w:rsid w:val="00187073"/>
    <w:rsid w:val="00190E4D"/>
    <w:rsid w:val="00194DA4"/>
    <w:rsid w:val="0019535B"/>
    <w:rsid w:val="00197F1C"/>
    <w:rsid w:val="001A0DEA"/>
    <w:rsid w:val="001A3AE8"/>
    <w:rsid w:val="001B0087"/>
    <w:rsid w:val="001B113E"/>
    <w:rsid w:val="001B260B"/>
    <w:rsid w:val="001B3CDE"/>
    <w:rsid w:val="001B422B"/>
    <w:rsid w:val="001C092D"/>
    <w:rsid w:val="001C0958"/>
    <w:rsid w:val="001C2092"/>
    <w:rsid w:val="001C2601"/>
    <w:rsid w:val="001D2AC8"/>
    <w:rsid w:val="001D2C81"/>
    <w:rsid w:val="001D575B"/>
    <w:rsid w:val="001D7B69"/>
    <w:rsid w:val="001E0BBC"/>
    <w:rsid w:val="001E2BCA"/>
    <w:rsid w:val="001E5D04"/>
    <w:rsid w:val="001E67FC"/>
    <w:rsid w:val="001E72DB"/>
    <w:rsid w:val="001F2143"/>
    <w:rsid w:val="001F2162"/>
    <w:rsid w:val="001F6B21"/>
    <w:rsid w:val="00204169"/>
    <w:rsid w:val="00205AE3"/>
    <w:rsid w:val="00213257"/>
    <w:rsid w:val="00223371"/>
    <w:rsid w:val="00230CC7"/>
    <w:rsid w:val="0023291B"/>
    <w:rsid w:val="00237025"/>
    <w:rsid w:val="002374BB"/>
    <w:rsid w:val="00252EAD"/>
    <w:rsid w:val="002531F4"/>
    <w:rsid w:val="00260387"/>
    <w:rsid w:val="00262E50"/>
    <w:rsid w:val="0026523F"/>
    <w:rsid w:val="00266B46"/>
    <w:rsid w:val="00267418"/>
    <w:rsid w:val="00270B51"/>
    <w:rsid w:val="002758C6"/>
    <w:rsid w:val="002813C1"/>
    <w:rsid w:val="00282EA3"/>
    <w:rsid w:val="00283FB8"/>
    <w:rsid w:val="00284C1B"/>
    <w:rsid w:val="0029083A"/>
    <w:rsid w:val="00291BFB"/>
    <w:rsid w:val="00292984"/>
    <w:rsid w:val="00294D7B"/>
    <w:rsid w:val="002A1CD4"/>
    <w:rsid w:val="002A5C45"/>
    <w:rsid w:val="002A62DA"/>
    <w:rsid w:val="002A7E0F"/>
    <w:rsid w:val="002B5984"/>
    <w:rsid w:val="002B6CEC"/>
    <w:rsid w:val="002C3897"/>
    <w:rsid w:val="002C3D01"/>
    <w:rsid w:val="002C6496"/>
    <w:rsid w:val="002C788E"/>
    <w:rsid w:val="002D372B"/>
    <w:rsid w:val="002D6D92"/>
    <w:rsid w:val="002D7431"/>
    <w:rsid w:val="002E6294"/>
    <w:rsid w:val="002E68EF"/>
    <w:rsid w:val="002E6AC2"/>
    <w:rsid w:val="002E6ECD"/>
    <w:rsid w:val="002F32C0"/>
    <w:rsid w:val="003008F7"/>
    <w:rsid w:val="00300FDE"/>
    <w:rsid w:val="003024D7"/>
    <w:rsid w:val="00304F03"/>
    <w:rsid w:val="00305DA9"/>
    <w:rsid w:val="00311A81"/>
    <w:rsid w:val="003156BF"/>
    <w:rsid w:val="003201A6"/>
    <w:rsid w:val="00326D3A"/>
    <w:rsid w:val="00327CA5"/>
    <w:rsid w:val="00333F83"/>
    <w:rsid w:val="0034032C"/>
    <w:rsid w:val="0034640B"/>
    <w:rsid w:val="003545DF"/>
    <w:rsid w:val="00361F98"/>
    <w:rsid w:val="003671B1"/>
    <w:rsid w:val="00372BC5"/>
    <w:rsid w:val="003761FD"/>
    <w:rsid w:val="00376B63"/>
    <w:rsid w:val="00376F28"/>
    <w:rsid w:val="00380425"/>
    <w:rsid w:val="003822B9"/>
    <w:rsid w:val="00382BCC"/>
    <w:rsid w:val="00392443"/>
    <w:rsid w:val="00396A01"/>
    <w:rsid w:val="003A0246"/>
    <w:rsid w:val="003A0A38"/>
    <w:rsid w:val="003A11FE"/>
    <w:rsid w:val="003A3EBF"/>
    <w:rsid w:val="003B4208"/>
    <w:rsid w:val="003B61C0"/>
    <w:rsid w:val="003B71E3"/>
    <w:rsid w:val="003C0D6E"/>
    <w:rsid w:val="003C1CC5"/>
    <w:rsid w:val="003C445E"/>
    <w:rsid w:val="003C4EBB"/>
    <w:rsid w:val="003C5D80"/>
    <w:rsid w:val="003D0DB3"/>
    <w:rsid w:val="003D632E"/>
    <w:rsid w:val="003E026A"/>
    <w:rsid w:val="003E667B"/>
    <w:rsid w:val="003F2E27"/>
    <w:rsid w:val="004016D8"/>
    <w:rsid w:val="00403D96"/>
    <w:rsid w:val="00406D02"/>
    <w:rsid w:val="00412CBA"/>
    <w:rsid w:val="004142B0"/>
    <w:rsid w:val="00414C2C"/>
    <w:rsid w:val="00416A17"/>
    <w:rsid w:val="00417B45"/>
    <w:rsid w:val="00420E5F"/>
    <w:rsid w:val="0042326F"/>
    <w:rsid w:val="00424FF9"/>
    <w:rsid w:val="00432763"/>
    <w:rsid w:val="0043343D"/>
    <w:rsid w:val="004349CE"/>
    <w:rsid w:val="00434E40"/>
    <w:rsid w:val="00437675"/>
    <w:rsid w:val="00440628"/>
    <w:rsid w:val="004412C8"/>
    <w:rsid w:val="00442061"/>
    <w:rsid w:val="004423C7"/>
    <w:rsid w:val="00443AE8"/>
    <w:rsid w:val="00446BAA"/>
    <w:rsid w:val="00452D3B"/>
    <w:rsid w:val="00453050"/>
    <w:rsid w:val="004550D2"/>
    <w:rsid w:val="0046147A"/>
    <w:rsid w:val="00462103"/>
    <w:rsid w:val="00463650"/>
    <w:rsid w:val="004639DF"/>
    <w:rsid w:val="00466DF1"/>
    <w:rsid w:val="0046734E"/>
    <w:rsid w:val="00472904"/>
    <w:rsid w:val="00473C6E"/>
    <w:rsid w:val="00473E07"/>
    <w:rsid w:val="00477875"/>
    <w:rsid w:val="00477D2B"/>
    <w:rsid w:val="00480116"/>
    <w:rsid w:val="004814B2"/>
    <w:rsid w:val="00481F88"/>
    <w:rsid w:val="00487E1A"/>
    <w:rsid w:val="004922C7"/>
    <w:rsid w:val="004A1A02"/>
    <w:rsid w:val="004A29B8"/>
    <w:rsid w:val="004A2DE2"/>
    <w:rsid w:val="004A3C13"/>
    <w:rsid w:val="004B22FD"/>
    <w:rsid w:val="004B2EEB"/>
    <w:rsid w:val="004B4248"/>
    <w:rsid w:val="004B455C"/>
    <w:rsid w:val="004B6AC4"/>
    <w:rsid w:val="004B7D47"/>
    <w:rsid w:val="004C024B"/>
    <w:rsid w:val="004C7EC3"/>
    <w:rsid w:val="004D023E"/>
    <w:rsid w:val="004D510B"/>
    <w:rsid w:val="004D5EB0"/>
    <w:rsid w:val="004D6D60"/>
    <w:rsid w:val="004D779D"/>
    <w:rsid w:val="004E3506"/>
    <w:rsid w:val="004E6DCC"/>
    <w:rsid w:val="004E772D"/>
    <w:rsid w:val="004F3A75"/>
    <w:rsid w:val="00505966"/>
    <w:rsid w:val="00505C65"/>
    <w:rsid w:val="00505D11"/>
    <w:rsid w:val="00506075"/>
    <w:rsid w:val="0051254F"/>
    <w:rsid w:val="00516FB2"/>
    <w:rsid w:val="00522EC2"/>
    <w:rsid w:val="00523173"/>
    <w:rsid w:val="005231D5"/>
    <w:rsid w:val="00526E6E"/>
    <w:rsid w:val="00530C7B"/>
    <w:rsid w:val="00534C79"/>
    <w:rsid w:val="00535366"/>
    <w:rsid w:val="00536B20"/>
    <w:rsid w:val="00537048"/>
    <w:rsid w:val="00551BD0"/>
    <w:rsid w:val="00553B4E"/>
    <w:rsid w:val="00554EAD"/>
    <w:rsid w:val="00557BAD"/>
    <w:rsid w:val="00557EC2"/>
    <w:rsid w:val="00564D55"/>
    <w:rsid w:val="00565156"/>
    <w:rsid w:val="00565359"/>
    <w:rsid w:val="005668AA"/>
    <w:rsid w:val="0056765F"/>
    <w:rsid w:val="005709AB"/>
    <w:rsid w:val="00570F73"/>
    <w:rsid w:val="00571B38"/>
    <w:rsid w:val="005759C3"/>
    <w:rsid w:val="005863C6"/>
    <w:rsid w:val="005916E4"/>
    <w:rsid w:val="005944D0"/>
    <w:rsid w:val="005A467C"/>
    <w:rsid w:val="005A50FD"/>
    <w:rsid w:val="005A730E"/>
    <w:rsid w:val="005B1444"/>
    <w:rsid w:val="005B50AA"/>
    <w:rsid w:val="005B524A"/>
    <w:rsid w:val="005C2B83"/>
    <w:rsid w:val="005C621D"/>
    <w:rsid w:val="005D01D9"/>
    <w:rsid w:val="005D438A"/>
    <w:rsid w:val="005D630F"/>
    <w:rsid w:val="005D72FF"/>
    <w:rsid w:val="005E4000"/>
    <w:rsid w:val="005E4B81"/>
    <w:rsid w:val="005E630E"/>
    <w:rsid w:val="005F1949"/>
    <w:rsid w:val="005F30BB"/>
    <w:rsid w:val="00600AAF"/>
    <w:rsid w:val="00603095"/>
    <w:rsid w:val="00603E90"/>
    <w:rsid w:val="00606EAA"/>
    <w:rsid w:val="006130B6"/>
    <w:rsid w:val="006167C7"/>
    <w:rsid w:val="00616B28"/>
    <w:rsid w:val="006202EB"/>
    <w:rsid w:val="00622BD8"/>
    <w:rsid w:val="0063014A"/>
    <w:rsid w:val="00633E01"/>
    <w:rsid w:val="006432D9"/>
    <w:rsid w:val="00653350"/>
    <w:rsid w:val="00663C4B"/>
    <w:rsid w:val="006648F3"/>
    <w:rsid w:val="0066686F"/>
    <w:rsid w:val="00672463"/>
    <w:rsid w:val="006759D1"/>
    <w:rsid w:val="00676B7A"/>
    <w:rsid w:val="00685957"/>
    <w:rsid w:val="00686F28"/>
    <w:rsid w:val="0069237F"/>
    <w:rsid w:val="00697030"/>
    <w:rsid w:val="006A2145"/>
    <w:rsid w:val="006A34C7"/>
    <w:rsid w:val="006A6A61"/>
    <w:rsid w:val="006A761D"/>
    <w:rsid w:val="006B2F60"/>
    <w:rsid w:val="006B6D48"/>
    <w:rsid w:val="006C1BCE"/>
    <w:rsid w:val="006C2ACA"/>
    <w:rsid w:val="006C3D6C"/>
    <w:rsid w:val="006C76C2"/>
    <w:rsid w:val="006D09B1"/>
    <w:rsid w:val="006D15FD"/>
    <w:rsid w:val="006E16BE"/>
    <w:rsid w:val="006E634A"/>
    <w:rsid w:val="006E654F"/>
    <w:rsid w:val="006F05B7"/>
    <w:rsid w:val="006F15F1"/>
    <w:rsid w:val="006F29EB"/>
    <w:rsid w:val="006F5185"/>
    <w:rsid w:val="006F5E5B"/>
    <w:rsid w:val="00704848"/>
    <w:rsid w:val="00705A00"/>
    <w:rsid w:val="00705F62"/>
    <w:rsid w:val="00707D70"/>
    <w:rsid w:val="00710E31"/>
    <w:rsid w:val="0071468F"/>
    <w:rsid w:val="00716167"/>
    <w:rsid w:val="0072036E"/>
    <w:rsid w:val="00721F23"/>
    <w:rsid w:val="00724FD4"/>
    <w:rsid w:val="00725067"/>
    <w:rsid w:val="007260B3"/>
    <w:rsid w:val="00726517"/>
    <w:rsid w:val="007303B7"/>
    <w:rsid w:val="00734C15"/>
    <w:rsid w:val="0073691F"/>
    <w:rsid w:val="00740C88"/>
    <w:rsid w:val="007418CD"/>
    <w:rsid w:val="00745404"/>
    <w:rsid w:val="00750A50"/>
    <w:rsid w:val="007517CA"/>
    <w:rsid w:val="00754422"/>
    <w:rsid w:val="00766B1B"/>
    <w:rsid w:val="00770747"/>
    <w:rsid w:val="00770803"/>
    <w:rsid w:val="007728A0"/>
    <w:rsid w:val="00773574"/>
    <w:rsid w:val="007806A6"/>
    <w:rsid w:val="00781448"/>
    <w:rsid w:val="007835BE"/>
    <w:rsid w:val="007847F9"/>
    <w:rsid w:val="0078505D"/>
    <w:rsid w:val="0078621F"/>
    <w:rsid w:val="00786BD1"/>
    <w:rsid w:val="00791174"/>
    <w:rsid w:val="0079375A"/>
    <w:rsid w:val="00796697"/>
    <w:rsid w:val="00797205"/>
    <w:rsid w:val="00797430"/>
    <w:rsid w:val="00797A83"/>
    <w:rsid w:val="007A0DB8"/>
    <w:rsid w:val="007A4BAF"/>
    <w:rsid w:val="007B0F1B"/>
    <w:rsid w:val="007B59CA"/>
    <w:rsid w:val="007B6990"/>
    <w:rsid w:val="007B7709"/>
    <w:rsid w:val="007B7FD7"/>
    <w:rsid w:val="007C0C95"/>
    <w:rsid w:val="007E0FFE"/>
    <w:rsid w:val="007E132E"/>
    <w:rsid w:val="007E22C2"/>
    <w:rsid w:val="007E684C"/>
    <w:rsid w:val="007E73B7"/>
    <w:rsid w:val="007E79C9"/>
    <w:rsid w:val="00803176"/>
    <w:rsid w:val="00807005"/>
    <w:rsid w:val="00807BEE"/>
    <w:rsid w:val="00814F23"/>
    <w:rsid w:val="00816143"/>
    <w:rsid w:val="00817C1F"/>
    <w:rsid w:val="00820C76"/>
    <w:rsid w:val="008219C2"/>
    <w:rsid w:val="00822061"/>
    <w:rsid w:val="00822372"/>
    <w:rsid w:val="00822938"/>
    <w:rsid w:val="00823B42"/>
    <w:rsid w:val="0082444A"/>
    <w:rsid w:val="00827FA4"/>
    <w:rsid w:val="008309BD"/>
    <w:rsid w:val="00835F9E"/>
    <w:rsid w:val="008409EC"/>
    <w:rsid w:val="008417FE"/>
    <w:rsid w:val="008430C3"/>
    <w:rsid w:val="008432D5"/>
    <w:rsid w:val="00845146"/>
    <w:rsid w:val="008502DD"/>
    <w:rsid w:val="008545C2"/>
    <w:rsid w:val="008569F8"/>
    <w:rsid w:val="00862B5B"/>
    <w:rsid w:val="00862F05"/>
    <w:rsid w:val="008638E4"/>
    <w:rsid w:val="008719BC"/>
    <w:rsid w:val="00871EB3"/>
    <w:rsid w:val="00872149"/>
    <w:rsid w:val="008726F9"/>
    <w:rsid w:val="00873626"/>
    <w:rsid w:val="008775BC"/>
    <w:rsid w:val="00885468"/>
    <w:rsid w:val="00894C81"/>
    <w:rsid w:val="00897FF1"/>
    <w:rsid w:val="008A1C82"/>
    <w:rsid w:val="008A78B6"/>
    <w:rsid w:val="008B6DD3"/>
    <w:rsid w:val="008B75A2"/>
    <w:rsid w:val="008C252B"/>
    <w:rsid w:val="008C4C7A"/>
    <w:rsid w:val="008D5951"/>
    <w:rsid w:val="008D5A2A"/>
    <w:rsid w:val="008E4242"/>
    <w:rsid w:val="008E567C"/>
    <w:rsid w:val="008E6C42"/>
    <w:rsid w:val="008F0973"/>
    <w:rsid w:val="008F1D4A"/>
    <w:rsid w:val="00910159"/>
    <w:rsid w:val="00913B4A"/>
    <w:rsid w:val="00915107"/>
    <w:rsid w:val="0092240B"/>
    <w:rsid w:val="00922686"/>
    <w:rsid w:val="00924689"/>
    <w:rsid w:val="00924A57"/>
    <w:rsid w:val="00924F91"/>
    <w:rsid w:val="00927175"/>
    <w:rsid w:val="00934CFF"/>
    <w:rsid w:val="009363C0"/>
    <w:rsid w:val="00940861"/>
    <w:rsid w:val="00941F39"/>
    <w:rsid w:val="009471F1"/>
    <w:rsid w:val="009477D6"/>
    <w:rsid w:val="00956043"/>
    <w:rsid w:val="009602CA"/>
    <w:rsid w:val="009608A0"/>
    <w:rsid w:val="0096114B"/>
    <w:rsid w:val="00962CA3"/>
    <w:rsid w:val="00963EB3"/>
    <w:rsid w:val="0096598E"/>
    <w:rsid w:val="0096623A"/>
    <w:rsid w:val="009804C8"/>
    <w:rsid w:val="00981177"/>
    <w:rsid w:val="00981F63"/>
    <w:rsid w:val="00983843"/>
    <w:rsid w:val="00987DFF"/>
    <w:rsid w:val="00992AEA"/>
    <w:rsid w:val="00994C2D"/>
    <w:rsid w:val="009A03EF"/>
    <w:rsid w:val="009A3A46"/>
    <w:rsid w:val="009B0079"/>
    <w:rsid w:val="009B0889"/>
    <w:rsid w:val="009B1EC1"/>
    <w:rsid w:val="009C31E9"/>
    <w:rsid w:val="009C565D"/>
    <w:rsid w:val="009C7224"/>
    <w:rsid w:val="009D13E3"/>
    <w:rsid w:val="009D29C0"/>
    <w:rsid w:val="009D2E8B"/>
    <w:rsid w:val="009D337A"/>
    <w:rsid w:val="009D3B53"/>
    <w:rsid w:val="009D4C1E"/>
    <w:rsid w:val="009D734E"/>
    <w:rsid w:val="009D7DC3"/>
    <w:rsid w:val="009E0DF7"/>
    <w:rsid w:val="009E3E8F"/>
    <w:rsid w:val="009E7412"/>
    <w:rsid w:val="009F0E1A"/>
    <w:rsid w:val="009F1DCE"/>
    <w:rsid w:val="00A036BD"/>
    <w:rsid w:val="00A05D20"/>
    <w:rsid w:val="00A11B3F"/>
    <w:rsid w:val="00A11BE9"/>
    <w:rsid w:val="00A11C1E"/>
    <w:rsid w:val="00A12529"/>
    <w:rsid w:val="00A172CE"/>
    <w:rsid w:val="00A175AC"/>
    <w:rsid w:val="00A23CE4"/>
    <w:rsid w:val="00A2495F"/>
    <w:rsid w:val="00A27C1E"/>
    <w:rsid w:val="00A42864"/>
    <w:rsid w:val="00A460D6"/>
    <w:rsid w:val="00A46458"/>
    <w:rsid w:val="00A605E7"/>
    <w:rsid w:val="00A66B50"/>
    <w:rsid w:val="00A707F2"/>
    <w:rsid w:val="00A70F21"/>
    <w:rsid w:val="00A7193A"/>
    <w:rsid w:val="00A72A34"/>
    <w:rsid w:val="00A73C8C"/>
    <w:rsid w:val="00A81002"/>
    <w:rsid w:val="00A81986"/>
    <w:rsid w:val="00A82BE7"/>
    <w:rsid w:val="00A85594"/>
    <w:rsid w:val="00A931F7"/>
    <w:rsid w:val="00A96599"/>
    <w:rsid w:val="00A96AD7"/>
    <w:rsid w:val="00A97B97"/>
    <w:rsid w:val="00AA1910"/>
    <w:rsid w:val="00AB0D8C"/>
    <w:rsid w:val="00AB16EC"/>
    <w:rsid w:val="00AC07C8"/>
    <w:rsid w:val="00AC6A40"/>
    <w:rsid w:val="00AC7A3B"/>
    <w:rsid w:val="00AD23F0"/>
    <w:rsid w:val="00AD2BD9"/>
    <w:rsid w:val="00AD39D1"/>
    <w:rsid w:val="00AD5A4B"/>
    <w:rsid w:val="00AD71EF"/>
    <w:rsid w:val="00AD7BDD"/>
    <w:rsid w:val="00AE196D"/>
    <w:rsid w:val="00AE30A8"/>
    <w:rsid w:val="00AE3347"/>
    <w:rsid w:val="00AE4FFF"/>
    <w:rsid w:val="00AE5E13"/>
    <w:rsid w:val="00AF1786"/>
    <w:rsid w:val="00AF3D56"/>
    <w:rsid w:val="00AF6AAD"/>
    <w:rsid w:val="00AF7DB9"/>
    <w:rsid w:val="00B02596"/>
    <w:rsid w:val="00B14BA1"/>
    <w:rsid w:val="00B22A95"/>
    <w:rsid w:val="00B23A56"/>
    <w:rsid w:val="00B24122"/>
    <w:rsid w:val="00B24DA5"/>
    <w:rsid w:val="00B251EB"/>
    <w:rsid w:val="00B26E08"/>
    <w:rsid w:val="00B32522"/>
    <w:rsid w:val="00B34452"/>
    <w:rsid w:val="00B461BF"/>
    <w:rsid w:val="00B50DDA"/>
    <w:rsid w:val="00B54918"/>
    <w:rsid w:val="00B66C5D"/>
    <w:rsid w:val="00B67F48"/>
    <w:rsid w:val="00B71CBD"/>
    <w:rsid w:val="00B723F7"/>
    <w:rsid w:val="00B80122"/>
    <w:rsid w:val="00B80314"/>
    <w:rsid w:val="00B82620"/>
    <w:rsid w:val="00B90C34"/>
    <w:rsid w:val="00B92A70"/>
    <w:rsid w:val="00B94459"/>
    <w:rsid w:val="00B94756"/>
    <w:rsid w:val="00B96605"/>
    <w:rsid w:val="00B97C92"/>
    <w:rsid w:val="00BA122A"/>
    <w:rsid w:val="00BA2633"/>
    <w:rsid w:val="00BA2AB3"/>
    <w:rsid w:val="00BA61AD"/>
    <w:rsid w:val="00BA69DC"/>
    <w:rsid w:val="00BA7C9A"/>
    <w:rsid w:val="00BB1FD2"/>
    <w:rsid w:val="00BB27A0"/>
    <w:rsid w:val="00BB3AAB"/>
    <w:rsid w:val="00BB746E"/>
    <w:rsid w:val="00BC2631"/>
    <w:rsid w:val="00BC3321"/>
    <w:rsid w:val="00BC3EAD"/>
    <w:rsid w:val="00BC408A"/>
    <w:rsid w:val="00BC49AC"/>
    <w:rsid w:val="00BC59C8"/>
    <w:rsid w:val="00BD463F"/>
    <w:rsid w:val="00BE0400"/>
    <w:rsid w:val="00BE5462"/>
    <w:rsid w:val="00BE644B"/>
    <w:rsid w:val="00BF5187"/>
    <w:rsid w:val="00BF767A"/>
    <w:rsid w:val="00C0233E"/>
    <w:rsid w:val="00C02B85"/>
    <w:rsid w:val="00C0570B"/>
    <w:rsid w:val="00C11F95"/>
    <w:rsid w:val="00C1416B"/>
    <w:rsid w:val="00C17E4F"/>
    <w:rsid w:val="00C26BC7"/>
    <w:rsid w:val="00C31268"/>
    <w:rsid w:val="00C32111"/>
    <w:rsid w:val="00C35888"/>
    <w:rsid w:val="00C35BF7"/>
    <w:rsid w:val="00C3776A"/>
    <w:rsid w:val="00C37836"/>
    <w:rsid w:val="00C40499"/>
    <w:rsid w:val="00C43A06"/>
    <w:rsid w:val="00C43C2D"/>
    <w:rsid w:val="00C44AA6"/>
    <w:rsid w:val="00C44EC6"/>
    <w:rsid w:val="00C46CB0"/>
    <w:rsid w:val="00C50A2A"/>
    <w:rsid w:val="00C546FD"/>
    <w:rsid w:val="00C56328"/>
    <w:rsid w:val="00C601FF"/>
    <w:rsid w:val="00C663BB"/>
    <w:rsid w:val="00C67696"/>
    <w:rsid w:val="00C67B8C"/>
    <w:rsid w:val="00C67BB6"/>
    <w:rsid w:val="00C708F6"/>
    <w:rsid w:val="00C74712"/>
    <w:rsid w:val="00C75695"/>
    <w:rsid w:val="00C84192"/>
    <w:rsid w:val="00C94F49"/>
    <w:rsid w:val="00C9502B"/>
    <w:rsid w:val="00C968B8"/>
    <w:rsid w:val="00C96B64"/>
    <w:rsid w:val="00CA3390"/>
    <w:rsid w:val="00CA7DB5"/>
    <w:rsid w:val="00CB06E5"/>
    <w:rsid w:val="00CB1220"/>
    <w:rsid w:val="00CB5B8A"/>
    <w:rsid w:val="00CC070C"/>
    <w:rsid w:val="00CC1F82"/>
    <w:rsid w:val="00CC2FDB"/>
    <w:rsid w:val="00CC65F9"/>
    <w:rsid w:val="00CC7BE3"/>
    <w:rsid w:val="00CD3E4C"/>
    <w:rsid w:val="00CD6B65"/>
    <w:rsid w:val="00CD7E7F"/>
    <w:rsid w:val="00CE11D7"/>
    <w:rsid w:val="00CE4779"/>
    <w:rsid w:val="00CE53F6"/>
    <w:rsid w:val="00CE6AFB"/>
    <w:rsid w:val="00CE6E32"/>
    <w:rsid w:val="00CE7793"/>
    <w:rsid w:val="00CF4466"/>
    <w:rsid w:val="00CF5B17"/>
    <w:rsid w:val="00D03B7F"/>
    <w:rsid w:val="00D07651"/>
    <w:rsid w:val="00D15240"/>
    <w:rsid w:val="00D1601A"/>
    <w:rsid w:val="00D215D5"/>
    <w:rsid w:val="00D262E8"/>
    <w:rsid w:val="00D2739C"/>
    <w:rsid w:val="00D338E9"/>
    <w:rsid w:val="00D33AB6"/>
    <w:rsid w:val="00D35F73"/>
    <w:rsid w:val="00D42CC2"/>
    <w:rsid w:val="00D4406A"/>
    <w:rsid w:val="00D45517"/>
    <w:rsid w:val="00D53C28"/>
    <w:rsid w:val="00D6295B"/>
    <w:rsid w:val="00D63D81"/>
    <w:rsid w:val="00D65958"/>
    <w:rsid w:val="00D664BF"/>
    <w:rsid w:val="00D71314"/>
    <w:rsid w:val="00D71FC8"/>
    <w:rsid w:val="00D72B47"/>
    <w:rsid w:val="00D73367"/>
    <w:rsid w:val="00D7439D"/>
    <w:rsid w:val="00D81F52"/>
    <w:rsid w:val="00D849FE"/>
    <w:rsid w:val="00D86915"/>
    <w:rsid w:val="00D90157"/>
    <w:rsid w:val="00D91D6C"/>
    <w:rsid w:val="00D9224C"/>
    <w:rsid w:val="00D92F96"/>
    <w:rsid w:val="00D961CC"/>
    <w:rsid w:val="00D968B5"/>
    <w:rsid w:val="00DA1CC9"/>
    <w:rsid w:val="00DA6AB4"/>
    <w:rsid w:val="00DB3C58"/>
    <w:rsid w:val="00DC14C0"/>
    <w:rsid w:val="00DC1E55"/>
    <w:rsid w:val="00DC4889"/>
    <w:rsid w:val="00DD1086"/>
    <w:rsid w:val="00DD10E9"/>
    <w:rsid w:val="00DD5EB3"/>
    <w:rsid w:val="00DD6893"/>
    <w:rsid w:val="00DD6C60"/>
    <w:rsid w:val="00DE1355"/>
    <w:rsid w:val="00DE1459"/>
    <w:rsid w:val="00DE2D3E"/>
    <w:rsid w:val="00DE4CDC"/>
    <w:rsid w:val="00DF0565"/>
    <w:rsid w:val="00DF1A09"/>
    <w:rsid w:val="00DF4A9C"/>
    <w:rsid w:val="00DF6BD9"/>
    <w:rsid w:val="00DF6E4F"/>
    <w:rsid w:val="00DF77FF"/>
    <w:rsid w:val="00E06AE9"/>
    <w:rsid w:val="00E071DA"/>
    <w:rsid w:val="00E1204B"/>
    <w:rsid w:val="00E16593"/>
    <w:rsid w:val="00E17C15"/>
    <w:rsid w:val="00E20E16"/>
    <w:rsid w:val="00E22FF4"/>
    <w:rsid w:val="00E23ED0"/>
    <w:rsid w:val="00E303F6"/>
    <w:rsid w:val="00E30B6A"/>
    <w:rsid w:val="00E31E9A"/>
    <w:rsid w:val="00E361B0"/>
    <w:rsid w:val="00E3712D"/>
    <w:rsid w:val="00E404CA"/>
    <w:rsid w:val="00E44D7E"/>
    <w:rsid w:val="00E47B93"/>
    <w:rsid w:val="00E562B7"/>
    <w:rsid w:val="00E629A9"/>
    <w:rsid w:val="00E635C5"/>
    <w:rsid w:val="00E64E89"/>
    <w:rsid w:val="00E65973"/>
    <w:rsid w:val="00E66BBB"/>
    <w:rsid w:val="00E709EC"/>
    <w:rsid w:val="00E70F44"/>
    <w:rsid w:val="00E71718"/>
    <w:rsid w:val="00E719E8"/>
    <w:rsid w:val="00E7774B"/>
    <w:rsid w:val="00E84B5F"/>
    <w:rsid w:val="00E85915"/>
    <w:rsid w:val="00E86F9A"/>
    <w:rsid w:val="00E91A24"/>
    <w:rsid w:val="00E92D06"/>
    <w:rsid w:val="00E939EA"/>
    <w:rsid w:val="00EA076B"/>
    <w:rsid w:val="00EA0D58"/>
    <w:rsid w:val="00EA2212"/>
    <w:rsid w:val="00EA443E"/>
    <w:rsid w:val="00EA4662"/>
    <w:rsid w:val="00EA58EF"/>
    <w:rsid w:val="00EB5CBB"/>
    <w:rsid w:val="00EB6353"/>
    <w:rsid w:val="00EC0226"/>
    <w:rsid w:val="00EC34A2"/>
    <w:rsid w:val="00EC740E"/>
    <w:rsid w:val="00ED1A7D"/>
    <w:rsid w:val="00ED2D93"/>
    <w:rsid w:val="00EE4A31"/>
    <w:rsid w:val="00EE7D31"/>
    <w:rsid w:val="00EF27E2"/>
    <w:rsid w:val="00EF29D4"/>
    <w:rsid w:val="00EF5803"/>
    <w:rsid w:val="00EF5A93"/>
    <w:rsid w:val="00EF6116"/>
    <w:rsid w:val="00EF63EA"/>
    <w:rsid w:val="00EF7A3B"/>
    <w:rsid w:val="00F01A68"/>
    <w:rsid w:val="00F1026A"/>
    <w:rsid w:val="00F17CDA"/>
    <w:rsid w:val="00F2620B"/>
    <w:rsid w:val="00F2640C"/>
    <w:rsid w:val="00F26C6B"/>
    <w:rsid w:val="00F26F68"/>
    <w:rsid w:val="00F31C49"/>
    <w:rsid w:val="00F34BEB"/>
    <w:rsid w:val="00F355B7"/>
    <w:rsid w:val="00F377D5"/>
    <w:rsid w:val="00F37CF9"/>
    <w:rsid w:val="00F418BF"/>
    <w:rsid w:val="00F432F8"/>
    <w:rsid w:val="00F51030"/>
    <w:rsid w:val="00F53141"/>
    <w:rsid w:val="00F53AE0"/>
    <w:rsid w:val="00F60F14"/>
    <w:rsid w:val="00F6119A"/>
    <w:rsid w:val="00F62615"/>
    <w:rsid w:val="00F6295D"/>
    <w:rsid w:val="00F679C0"/>
    <w:rsid w:val="00F70796"/>
    <w:rsid w:val="00F72E29"/>
    <w:rsid w:val="00F72FA2"/>
    <w:rsid w:val="00F75B4B"/>
    <w:rsid w:val="00F76674"/>
    <w:rsid w:val="00F82EFB"/>
    <w:rsid w:val="00F85B84"/>
    <w:rsid w:val="00F866DB"/>
    <w:rsid w:val="00F86FC8"/>
    <w:rsid w:val="00F87812"/>
    <w:rsid w:val="00F9271F"/>
    <w:rsid w:val="00F97121"/>
    <w:rsid w:val="00F9741D"/>
    <w:rsid w:val="00FA1DAC"/>
    <w:rsid w:val="00FA216E"/>
    <w:rsid w:val="00FB0BF8"/>
    <w:rsid w:val="00FB589D"/>
    <w:rsid w:val="00FB7174"/>
    <w:rsid w:val="00FB736F"/>
    <w:rsid w:val="00FC3E69"/>
    <w:rsid w:val="00FD0478"/>
    <w:rsid w:val="00FD3E93"/>
    <w:rsid w:val="00FD77FA"/>
    <w:rsid w:val="00FE3A5C"/>
    <w:rsid w:val="00FE3B07"/>
    <w:rsid w:val="00FF0AAA"/>
    <w:rsid w:val="00FF5130"/>
    <w:rsid w:val="00FF6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AC2"/>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99"/>
    <w:qFormat/>
    <w:rsid w:val="002E6AC2"/>
    <w:pPr>
      <w:ind w:firstLineChars="200" w:firstLine="420"/>
    </w:pPr>
    <w:rPr>
      <w:rFonts w:ascii="Times New Roman" w:eastAsia="宋体" w:hAnsi="Times New Roman" w:cs="Times New Roman"/>
      <w:szCs w:val="24"/>
    </w:rPr>
  </w:style>
  <w:style w:type="table" w:styleId="a4">
    <w:name w:val="Table Grid"/>
    <w:basedOn w:val="a1"/>
    <w:uiPriority w:val="39"/>
    <w:rsid w:val="002E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unhideWhenUsed/>
    <w:qFormat/>
    <w:rsid w:val="002E6AC2"/>
    <w:rPr>
      <w:sz w:val="21"/>
      <w:szCs w:val="21"/>
    </w:rPr>
  </w:style>
  <w:style w:type="paragraph" w:styleId="a6">
    <w:name w:val="annotation text"/>
    <w:basedOn w:val="a"/>
    <w:link w:val="Char"/>
    <w:uiPriority w:val="99"/>
    <w:semiHidden/>
    <w:unhideWhenUsed/>
    <w:rsid w:val="002E6AC2"/>
    <w:pPr>
      <w:jc w:val="left"/>
    </w:pPr>
  </w:style>
  <w:style w:type="character" w:customStyle="1" w:styleId="Char">
    <w:name w:val="批注文字 Char"/>
    <w:basedOn w:val="a0"/>
    <w:link w:val="a6"/>
    <w:uiPriority w:val="99"/>
    <w:semiHidden/>
    <w:rsid w:val="002E6AC2"/>
  </w:style>
  <w:style w:type="paragraph" w:styleId="a7">
    <w:name w:val="Balloon Text"/>
    <w:basedOn w:val="a"/>
    <w:link w:val="Char0"/>
    <w:uiPriority w:val="99"/>
    <w:semiHidden/>
    <w:unhideWhenUsed/>
    <w:rsid w:val="002E6AC2"/>
    <w:rPr>
      <w:sz w:val="18"/>
      <w:szCs w:val="18"/>
    </w:rPr>
  </w:style>
  <w:style w:type="character" w:customStyle="1" w:styleId="Char0">
    <w:name w:val="批注框文本 Char"/>
    <w:basedOn w:val="a0"/>
    <w:link w:val="a7"/>
    <w:uiPriority w:val="99"/>
    <w:semiHidden/>
    <w:rsid w:val="002E6AC2"/>
    <w:rPr>
      <w:sz w:val="18"/>
      <w:szCs w:val="18"/>
    </w:rPr>
  </w:style>
  <w:style w:type="paragraph" w:styleId="a8">
    <w:name w:val="annotation subject"/>
    <w:basedOn w:val="a6"/>
    <w:next w:val="a6"/>
    <w:link w:val="Char1"/>
    <w:uiPriority w:val="99"/>
    <w:semiHidden/>
    <w:unhideWhenUsed/>
    <w:rsid w:val="007A0DB8"/>
    <w:rPr>
      <w:b/>
      <w:bCs/>
    </w:rPr>
  </w:style>
  <w:style w:type="character" w:customStyle="1" w:styleId="Char1">
    <w:name w:val="批注主题 Char"/>
    <w:basedOn w:val="Char"/>
    <w:link w:val="a8"/>
    <w:uiPriority w:val="99"/>
    <w:semiHidden/>
    <w:rsid w:val="007A0DB8"/>
    <w:rPr>
      <w:b/>
      <w:bCs/>
    </w:rPr>
  </w:style>
  <w:style w:type="paragraph" w:styleId="a9">
    <w:name w:val="header"/>
    <w:basedOn w:val="a"/>
    <w:link w:val="Char2"/>
    <w:uiPriority w:val="99"/>
    <w:unhideWhenUsed/>
    <w:rsid w:val="003A0A3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A0A38"/>
    <w:rPr>
      <w:sz w:val="18"/>
      <w:szCs w:val="18"/>
    </w:rPr>
  </w:style>
  <w:style w:type="paragraph" w:styleId="aa">
    <w:name w:val="footer"/>
    <w:basedOn w:val="a"/>
    <w:link w:val="Char3"/>
    <w:uiPriority w:val="99"/>
    <w:unhideWhenUsed/>
    <w:rsid w:val="003A0A38"/>
    <w:pPr>
      <w:tabs>
        <w:tab w:val="center" w:pos="4153"/>
        <w:tab w:val="right" w:pos="8306"/>
      </w:tabs>
      <w:snapToGrid w:val="0"/>
      <w:jc w:val="left"/>
    </w:pPr>
    <w:rPr>
      <w:sz w:val="18"/>
      <w:szCs w:val="18"/>
    </w:rPr>
  </w:style>
  <w:style w:type="character" w:customStyle="1" w:styleId="Char3">
    <w:name w:val="页脚 Char"/>
    <w:basedOn w:val="a0"/>
    <w:link w:val="aa"/>
    <w:uiPriority w:val="99"/>
    <w:rsid w:val="003A0A38"/>
    <w:rPr>
      <w:sz w:val="18"/>
      <w:szCs w:val="18"/>
    </w:rPr>
  </w:style>
  <w:style w:type="paragraph" w:styleId="ab">
    <w:name w:val="Revision"/>
    <w:hidden/>
    <w:uiPriority w:val="99"/>
    <w:semiHidden/>
    <w:rsid w:val="00CE4779"/>
  </w:style>
  <w:style w:type="paragraph" w:customStyle="1" w:styleId="CharChar">
    <w:name w:val="Char Char"/>
    <w:basedOn w:val="a"/>
    <w:rsid w:val="00894C81"/>
    <w:rPr>
      <w:rFonts w:ascii="Times New Roman" w:eastAsia="宋体" w:hAnsi="Times New Roman" w:cs="Times New Roman"/>
      <w:szCs w:val="20"/>
    </w:rPr>
  </w:style>
  <w:style w:type="character" w:styleId="ac">
    <w:name w:val="Hyperlink"/>
    <w:basedOn w:val="a0"/>
    <w:uiPriority w:val="99"/>
    <w:semiHidden/>
    <w:unhideWhenUsed/>
    <w:rsid w:val="00E16593"/>
    <w:rPr>
      <w:color w:val="0000FF"/>
      <w:u w:val="single"/>
    </w:rPr>
  </w:style>
  <w:style w:type="character" w:styleId="ad">
    <w:name w:val="FollowedHyperlink"/>
    <w:basedOn w:val="a0"/>
    <w:uiPriority w:val="99"/>
    <w:semiHidden/>
    <w:unhideWhenUsed/>
    <w:rsid w:val="006923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723350">
      <w:bodyDiv w:val="1"/>
      <w:marLeft w:val="0"/>
      <w:marRight w:val="0"/>
      <w:marTop w:val="0"/>
      <w:marBottom w:val="0"/>
      <w:divBdr>
        <w:top w:val="none" w:sz="0" w:space="0" w:color="auto"/>
        <w:left w:val="none" w:sz="0" w:space="0" w:color="auto"/>
        <w:bottom w:val="none" w:sz="0" w:space="0" w:color="auto"/>
        <w:right w:val="none" w:sz="0" w:space="0" w:color="auto"/>
      </w:divBdr>
    </w:div>
    <w:div w:id="142896053">
      <w:bodyDiv w:val="1"/>
      <w:marLeft w:val="0"/>
      <w:marRight w:val="0"/>
      <w:marTop w:val="0"/>
      <w:marBottom w:val="0"/>
      <w:divBdr>
        <w:top w:val="none" w:sz="0" w:space="0" w:color="auto"/>
        <w:left w:val="none" w:sz="0" w:space="0" w:color="auto"/>
        <w:bottom w:val="none" w:sz="0" w:space="0" w:color="auto"/>
        <w:right w:val="none" w:sz="0" w:space="0" w:color="auto"/>
      </w:divBdr>
    </w:div>
    <w:div w:id="298413942">
      <w:bodyDiv w:val="1"/>
      <w:marLeft w:val="0"/>
      <w:marRight w:val="0"/>
      <w:marTop w:val="0"/>
      <w:marBottom w:val="0"/>
      <w:divBdr>
        <w:top w:val="none" w:sz="0" w:space="0" w:color="auto"/>
        <w:left w:val="none" w:sz="0" w:space="0" w:color="auto"/>
        <w:bottom w:val="none" w:sz="0" w:space="0" w:color="auto"/>
        <w:right w:val="none" w:sz="0" w:space="0" w:color="auto"/>
      </w:divBdr>
    </w:div>
    <w:div w:id="460924513">
      <w:bodyDiv w:val="1"/>
      <w:marLeft w:val="0"/>
      <w:marRight w:val="0"/>
      <w:marTop w:val="0"/>
      <w:marBottom w:val="0"/>
      <w:divBdr>
        <w:top w:val="none" w:sz="0" w:space="0" w:color="auto"/>
        <w:left w:val="none" w:sz="0" w:space="0" w:color="auto"/>
        <w:bottom w:val="none" w:sz="0" w:space="0" w:color="auto"/>
        <w:right w:val="none" w:sz="0" w:space="0" w:color="auto"/>
      </w:divBdr>
    </w:div>
    <w:div w:id="597372595">
      <w:bodyDiv w:val="1"/>
      <w:marLeft w:val="0"/>
      <w:marRight w:val="0"/>
      <w:marTop w:val="0"/>
      <w:marBottom w:val="0"/>
      <w:divBdr>
        <w:top w:val="none" w:sz="0" w:space="0" w:color="auto"/>
        <w:left w:val="none" w:sz="0" w:space="0" w:color="auto"/>
        <w:bottom w:val="none" w:sz="0" w:space="0" w:color="auto"/>
        <w:right w:val="none" w:sz="0" w:space="0" w:color="auto"/>
      </w:divBdr>
    </w:div>
    <w:div w:id="604384464">
      <w:bodyDiv w:val="1"/>
      <w:marLeft w:val="0"/>
      <w:marRight w:val="0"/>
      <w:marTop w:val="0"/>
      <w:marBottom w:val="0"/>
      <w:divBdr>
        <w:top w:val="none" w:sz="0" w:space="0" w:color="auto"/>
        <w:left w:val="none" w:sz="0" w:space="0" w:color="auto"/>
        <w:bottom w:val="none" w:sz="0" w:space="0" w:color="auto"/>
        <w:right w:val="none" w:sz="0" w:space="0" w:color="auto"/>
      </w:divBdr>
    </w:div>
    <w:div w:id="650646430">
      <w:bodyDiv w:val="1"/>
      <w:marLeft w:val="0"/>
      <w:marRight w:val="0"/>
      <w:marTop w:val="0"/>
      <w:marBottom w:val="0"/>
      <w:divBdr>
        <w:top w:val="none" w:sz="0" w:space="0" w:color="auto"/>
        <w:left w:val="none" w:sz="0" w:space="0" w:color="auto"/>
        <w:bottom w:val="none" w:sz="0" w:space="0" w:color="auto"/>
        <w:right w:val="none" w:sz="0" w:space="0" w:color="auto"/>
      </w:divBdr>
    </w:div>
    <w:div w:id="653073980">
      <w:bodyDiv w:val="1"/>
      <w:marLeft w:val="0"/>
      <w:marRight w:val="0"/>
      <w:marTop w:val="0"/>
      <w:marBottom w:val="0"/>
      <w:divBdr>
        <w:top w:val="none" w:sz="0" w:space="0" w:color="auto"/>
        <w:left w:val="none" w:sz="0" w:space="0" w:color="auto"/>
        <w:bottom w:val="none" w:sz="0" w:space="0" w:color="auto"/>
        <w:right w:val="none" w:sz="0" w:space="0" w:color="auto"/>
      </w:divBdr>
    </w:div>
    <w:div w:id="834417892">
      <w:bodyDiv w:val="1"/>
      <w:marLeft w:val="0"/>
      <w:marRight w:val="0"/>
      <w:marTop w:val="0"/>
      <w:marBottom w:val="0"/>
      <w:divBdr>
        <w:top w:val="none" w:sz="0" w:space="0" w:color="auto"/>
        <w:left w:val="none" w:sz="0" w:space="0" w:color="auto"/>
        <w:bottom w:val="none" w:sz="0" w:space="0" w:color="auto"/>
        <w:right w:val="none" w:sz="0" w:space="0" w:color="auto"/>
      </w:divBdr>
    </w:div>
    <w:div w:id="1034966921">
      <w:bodyDiv w:val="1"/>
      <w:marLeft w:val="0"/>
      <w:marRight w:val="0"/>
      <w:marTop w:val="0"/>
      <w:marBottom w:val="0"/>
      <w:divBdr>
        <w:top w:val="none" w:sz="0" w:space="0" w:color="auto"/>
        <w:left w:val="none" w:sz="0" w:space="0" w:color="auto"/>
        <w:bottom w:val="none" w:sz="0" w:space="0" w:color="auto"/>
        <w:right w:val="none" w:sz="0" w:space="0" w:color="auto"/>
      </w:divBdr>
    </w:div>
    <w:div w:id="1051345725">
      <w:bodyDiv w:val="1"/>
      <w:marLeft w:val="0"/>
      <w:marRight w:val="0"/>
      <w:marTop w:val="0"/>
      <w:marBottom w:val="0"/>
      <w:divBdr>
        <w:top w:val="none" w:sz="0" w:space="0" w:color="auto"/>
        <w:left w:val="none" w:sz="0" w:space="0" w:color="auto"/>
        <w:bottom w:val="none" w:sz="0" w:space="0" w:color="auto"/>
        <w:right w:val="none" w:sz="0" w:space="0" w:color="auto"/>
      </w:divBdr>
    </w:div>
    <w:div w:id="1060786289">
      <w:bodyDiv w:val="1"/>
      <w:marLeft w:val="0"/>
      <w:marRight w:val="0"/>
      <w:marTop w:val="0"/>
      <w:marBottom w:val="0"/>
      <w:divBdr>
        <w:top w:val="none" w:sz="0" w:space="0" w:color="auto"/>
        <w:left w:val="none" w:sz="0" w:space="0" w:color="auto"/>
        <w:bottom w:val="none" w:sz="0" w:space="0" w:color="auto"/>
        <w:right w:val="none" w:sz="0" w:space="0" w:color="auto"/>
      </w:divBdr>
    </w:div>
    <w:div w:id="1079250667">
      <w:bodyDiv w:val="1"/>
      <w:marLeft w:val="0"/>
      <w:marRight w:val="0"/>
      <w:marTop w:val="0"/>
      <w:marBottom w:val="0"/>
      <w:divBdr>
        <w:top w:val="none" w:sz="0" w:space="0" w:color="auto"/>
        <w:left w:val="none" w:sz="0" w:space="0" w:color="auto"/>
        <w:bottom w:val="none" w:sz="0" w:space="0" w:color="auto"/>
        <w:right w:val="none" w:sz="0" w:space="0" w:color="auto"/>
      </w:divBdr>
    </w:div>
    <w:div w:id="1138688084">
      <w:bodyDiv w:val="1"/>
      <w:marLeft w:val="0"/>
      <w:marRight w:val="0"/>
      <w:marTop w:val="0"/>
      <w:marBottom w:val="0"/>
      <w:divBdr>
        <w:top w:val="none" w:sz="0" w:space="0" w:color="auto"/>
        <w:left w:val="none" w:sz="0" w:space="0" w:color="auto"/>
        <w:bottom w:val="none" w:sz="0" w:space="0" w:color="auto"/>
        <w:right w:val="none" w:sz="0" w:space="0" w:color="auto"/>
      </w:divBdr>
    </w:div>
    <w:div w:id="1247423574">
      <w:bodyDiv w:val="1"/>
      <w:marLeft w:val="0"/>
      <w:marRight w:val="0"/>
      <w:marTop w:val="0"/>
      <w:marBottom w:val="0"/>
      <w:divBdr>
        <w:top w:val="none" w:sz="0" w:space="0" w:color="auto"/>
        <w:left w:val="none" w:sz="0" w:space="0" w:color="auto"/>
        <w:bottom w:val="none" w:sz="0" w:space="0" w:color="auto"/>
        <w:right w:val="none" w:sz="0" w:space="0" w:color="auto"/>
      </w:divBdr>
    </w:div>
    <w:div w:id="1266420596">
      <w:bodyDiv w:val="1"/>
      <w:marLeft w:val="0"/>
      <w:marRight w:val="0"/>
      <w:marTop w:val="0"/>
      <w:marBottom w:val="0"/>
      <w:divBdr>
        <w:top w:val="none" w:sz="0" w:space="0" w:color="auto"/>
        <w:left w:val="none" w:sz="0" w:space="0" w:color="auto"/>
        <w:bottom w:val="none" w:sz="0" w:space="0" w:color="auto"/>
        <w:right w:val="none" w:sz="0" w:space="0" w:color="auto"/>
      </w:divBdr>
    </w:div>
    <w:div w:id="1373112561">
      <w:bodyDiv w:val="1"/>
      <w:marLeft w:val="0"/>
      <w:marRight w:val="0"/>
      <w:marTop w:val="0"/>
      <w:marBottom w:val="0"/>
      <w:divBdr>
        <w:top w:val="none" w:sz="0" w:space="0" w:color="auto"/>
        <w:left w:val="none" w:sz="0" w:space="0" w:color="auto"/>
        <w:bottom w:val="none" w:sz="0" w:space="0" w:color="auto"/>
        <w:right w:val="none" w:sz="0" w:space="0" w:color="auto"/>
      </w:divBdr>
    </w:div>
    <w:div w:id="1448699003">
      <w:bodyDiv w:val="1"/>
      <w:marLeft w:val="0"/>
      <w:marRight w:val="0"/>
      <w:marTop w:val="0"/>
      <w:marBottom w:val="0"/>
      <w:divBdr>
        <w:top w:val="none" w:sz="0" w:space="0" w:color="auto"/>
        <w:left w:val="none" w:sz="0" w:space="0" w:color="auto"/>
        <w:bottom w:val="none" w:sz="0" w:space="0" w:color="auto"/>
        <w:right w:val="none" w:sz="0" w:space="0" w:color="auto"/>
      </w:divBdr>
    </w:div>
    <w:div w:id="1488597694">
      <w:bodyDiv w:val="1"/>
      <w:marLeft w:val="0"/>
      <w:marRight w:val="0"/>
      <w:marTop w:val="0"/>
      <w:marBottom w:val="0"/>
      <w:divBdr>
        <w:top w:val="none" w:sz="0" w:space="0" w:color="auto"/>
        <w:left w:val="none" w:sz="0" w:space="0" w:color="auto"/>
        <w:bottom w:val="none" w:sz="0" w:space="0" w:color="auto"/>
        <w:right w:val="none" w:sz="0" w:space="0" w:color="auto"/>
      </w:divBdr>
    </w:div>
    <w:div w:id="1652371708">
      <w:bodyDiv w:val="1"/>
      <w:marLeft w:val="0"/>
      <w:marRight w:val="0"/>
      <w:marTop w:val="0"/>
      <w:marBottom w:val="0"/>
      <w:divBdr>
        <w:top w:val="none" w:sz="0" w:space="0" w:color="auto"/>
        <w:left w:val="none" w:sz="0" w:space="0" w:color="auto"/>
        <w:bottom w:val="none" w:sz="0" w:space="0" w:color="auto"/>
        <w:right w:val="none" w:sz="0" w:space="0" w:color="auto"/>
      </w:divBdr>
    </w:div>
    <w:div w:id="18504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D0B4-CC0F-40F2-A05A-6F7AE513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4</DocSecurity>
  <Lines>10</Lines>
  <Paragraphs>2</Paragraphs>
  <ScaleCrop>false</ScaleCrop>
  <Company>E FUND</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程才</dc:creator>
  <cp:keywords/>
  <dc:description/>
  <cp:lastModifiedBy>ZHONGM</cp:lastModifiedBy>
  <cp:revision>2</cp:revision>
  <dcterms:created xsi:type="dcterms:W3CDTF">2021-01-08T16:22:00Z</dcterms:created>
  <dcterms:modified xsi:type="dcterms:W3CDTF">2021-01-08T16:22:00Z</dcterms:modified>
</cp:coreProperties>
</file>