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F" w:rsidRDefault="00CE153F" w:rsidP="00CE153F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CE153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国开泰富基金管理有限责任公司更正公告</w:t>
      </w:r>
    </w:p>
    <w:p w:rsidR="007910BB" w:rsidRPr="00CE153F" w:rsidRDefault="007910BB" w:rsidP="00CE153F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083EEB" w:rsidRDefault="00CE153F" w:rsidP="00C85F84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E153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E153F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国开泰富基金管理有限责任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公司（以下简称“本公司”）于20</w:t>
      </w:r>
      <w:r w:rsidR="00083E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083E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083E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29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日在指定媒体和本公司网站上发布了《</w:t>
      </w:r>
      <w:r w:rsidR="00FB2ABE" w:rsidRPr="00FB2ABE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国开泰富货币市场证券投资基金</w:t>
      </w:r>
      <w:r w:rsidRPr="00CE153F"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20</w:t>
      </w:r>
      <w:r w:rsid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 w:rsidR="00083EEB"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年中期报告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</w:t>
      </w:r>
      <w:r w:rsidR="007E645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E64EA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="00E64EA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国开泰富开泰灵活配置混合型证券投资基金2020年中期报告</w:t>
      </w:r>
      <w:r w:rsidR="00E64EA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》和</w:t>
      </w:r>
      <w:r w:rsidR="00E64EA4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="00E64EA4" w:rsidRPr="00C85F8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国开泰富开航灵活配置混合型发起式证券投资基金</w:t>
      </w:r>
      <w:r w:rsidR="00E64EA4" w:rsidRPr="00CE153F"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20</w:t>
      </w:r>
      <w:r w:rsidR="00E64EA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 w:rsidR="00E64EA4"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年中期报告</w:t>
      </w:r>
      <w:r w:rsidR="00E64EA4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</w:t>
      </w:r>
      <w:r w:rsidR="00823D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现对</w:t>
      </w:r>
      <w:r w:rsidR="008452A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告中</w:t>
      </w:r>
      <w:r w:rsidR="00083E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部分内容做如下更正：</w:t>
      </w:r>
    </w:p>
    <w:p w:rsidR="00083EEB" w:rsidRDefault="00E64EA4" w:rsidP="00FB2ABE">
      <w:pPr>
        <w:widowControl/>
        <w:spacing w:before="150" w:after="150" w:line="298" w:lineRule="atLeast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</w:t>
      </w:r>
      <w:r w:rsidR="00CD0C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FB2ABE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国开泰富货币市场证券投资基金</w:t>
      </w:r>
      <w:r w:rsidRPr="00CE153F"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年中期报告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</w:t>
      </w:r>
      <w:r w:rsidR="00CD0C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</w:t>
      </w:r>
      <w:r w:rsidR="00CE153F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</w:t>
      </w:r>
      <w:r w:rsidR="007E645A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6.4.9.2</w:t>
      </w:r>
      <w:r w:rsidR="00083EEB"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本报告期与基金发生关联交易的各关联方</w:t>
      </w:r>
      <w:r w:rsidR="00CE153F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</w:t>
      </w:r>
      <w:r w:rsidR="008452A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的内容</w:t>
      </w:r>
      <w:r w:rsidR="007910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进行更正，</w:t>
      </w:r>
      <w:r w:rsidR="00CE153F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更正</w:t>
      </w:r>
      <w:r w:rsidR="007910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后内容</w:t>
      </w:r>
      <w:r w:rsidR="00CE153F"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2"/>
        <w:gridCol w:w="4572"/>
      </w:tblGrid>
      <w:tr w:rsidR="00FB2ABE" w:rsidTr="00FB2ABE">
        <w:tc>
          <w:tcPr>
            <w:tcW w:w="3842" w:type="dxa"/>
            <w:shd w:val="clear" w:color="auto" w:fill="D9D9D9"/>
          </w:tcPr>
          <w:p w:rsidR="00FB2ABE" w:rsidRDefault="00FB2ABE" w:rsidP="00A90207">
            <w:pPr>
              <w:pStyle w:val="a7"/>
              <w:spacing w:line="240" w:lineRule="auto"/>
            </w:pPr>
            <w:r>
              <w:rPr>
                <w:rFonts w:hint="eastAsia"/>
              </w:rPr>
              <w:t>关联方名称</w:t>
            </w:r>
          </w:p>
        </w:tc>
        <w:tc>
          <w:tcPr>
            <w:tcW w:w="4572" w:type="dxa"/>
            <w:shd w:val="clear" w:color="auto" w:fill="D9D9D9"/>
          </w:tcPr>
          <w:p w:rsidR="00FB2ABE" w:rsidRDefault="00FB2ABE" w:rsidP="00A90207">
            <w:pPr>
              <w:pStyle w:val="a7"/>
              <w:spacing w:line="240" w:lineRule="auto"/>
            </w:pPr>
            <w:r>
              <w:rPr>
                <w:rFonts w:hint="eastAsia"/>
              </w:rPr>
              <w:t>与本基金的关系</w:t>
            </w:r>
          </w:p>
        </w:tc>
      </w:tr>
      <w:tr w:rsidR="00FB2ABE" w:rsidTr="00FB2ABE">
        <w:tc>
          <w:tcPr>
            <w:tcW w:w="384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国开泰富基金管理有限责任公司</w:t>
            </w:r>
          </w:p>
        </w:tc>
        <w:tc>
          <w:tcPr>
            <w:tcW w:w="457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基金管理人、基金注册登记机构、基金销售机构</w:t>
            </w:r>
          </w:p>
        </w:tc>
      </w:tr>
      <w:tr w:rsidR="00FB2ABE" w:rsidTr="00FB2ABE">
        <w:tc>
          <w:tcPr>
            <w:tcW w:w="384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中国农业银行股份有限公司</w:t>
            </w:r>
          </w:p>
        </w:tc>
        <w:tc>
          <w:tcPr>
            <w:tcW w:w="457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基金托管人、基金销售机构</w:t>
            </w:r>
          </w:p>
        </w:tc>
      </w:tr>
      <w:tr w:rsidR="00FB2ABE" w:rsidTr="00FB2ABE">
        <w:tc>
          <w:tcPr>
            <w:tcW w:w="384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4572" w:type="dxa"/>
            <w:vAlign w:val="center"/>
          </w:tcPr>
          <w:p w:rsidR="00FB2ABE" w:rsidRDefault="00FB2ABE" w:rsidP="00A90207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基金管理人的股东、基金销售机构</w:t>
            </w:r>
          </w:p>
        </w:tc>
      </w:tr>
      <w:tr w:rsidR="001C15FF" w:rsidTr="00FB2ABE">
        <w:tc>
          <w:tcPr>
            <w:tcW w:w="3842" w:type="dxa"/>
            <w:vAlign w:val="center"/>
          </w:tcPr>
          <w:p w:rsidR="001C15FF" w:rsidRDefault="001C15FF" w:rsidP="00635CB9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北京国开泰富资产管理有限公司</w:t>
            </w:r>
          </w:p>
        </w:tc>
        <w:tc>
          <w:tcPr>
            <w:tcW w:w="4572" w:type="dxa"/>
            <w:vAlign w:val="center"/>
          </w:tcPr>
          <w:p w:rsidR="001C15FF" w:rsidRDefault="001C15FF" w:rsidP="00635CB9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基金管理人的子公司</w:t>
            </w:r>
          </w:p>
        </w:tc>
      </w:tr>
    </w:tbl>
    <w:p w:rsidR="00341369" w:rsidRDefault="00083EEB" w:rsidP="00823D86">
      <w:pPr>
        <w:widowControl/>
        <w:spacing w:before="150" w:after="150" w:line="298" w:lineRule="atLeast"/>
        <w:jc w:val="lef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注：下述关联交易均在正常业务范围内按一般商业条款订立。</w:t>
      </w:r>
    </w:p>
    <w:p w:rsidR="00E64EA4" w:rsidRDefault="00E64EA4" w:rsidP="00E64EA4">
      <w:pPr>
        <w:widowControl/>
        <w:spacing w:before="150" w:after="150" w:line="298" w:lineRule="atLeast"/>
        <w:ind w:firstLine="40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（二）对《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国开泰富开泰灵活配置混合型证券投资基金2020年中期报告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》中“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6.4.9.2本报告期与基金发生关联交易的各关联方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”的内容进行更正，更正后内容如下：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4572"/>
      </w:tblGrid>
      <w:tr w:rsidR="00E64EA4" w:rsidTr="00E46AFC">
        <w:tc>
          <w:tcPr>
            <w:tcW w:w="3842" w:type="dxa"/>
            <w:shd w:val="clear" w:color="auto" w:fill="D9D9D9"/>
          </w:tcPr>
          <w:p w:rsidR="00E64EA4" w:rsidRDefault="00E64EA4" w:rsidP="00E46AFC">
            <w:pPr>
              <w:pStyle w:val="a7"/>
              <w:spacing w:line="240" w:lineRule="auto"/>
            </w:pPr>
            <w:r>
              <w:rPr>
                <w:rFonts w:hint="eastAsia"/>
              </w:rPr>
              <w:t>关联方名称</w:t>
            </w:r>
          </w:p>
        </w:tc>
        <w:tc>
          <w:tcPr>
            <w:tcW w:w="4572" w:type="dxa"/>
            <w:shd w:val="clear" w:color="auto" w:fill="D9D9D9"/>
          </w:tcPr>
          <w:p w:rsidR="00E64EA4" w:rsidRDefault="00E64EA4" w:rsidP="00E46AFC">
            <w:pPr>
              <w:pStyle w:val="a7"/>
              <w:spacing w:line="240" w:lineRule="auto"/>
            </w:pPr>
            <w:r>
              <w:rPr>
                <w:rFonts w:hint="eastAsia"/>
              </w:rPr>
              <w:t>与本基金的关系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国开泰富基金管理有限责任公司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基金管理人、基金注册登记机构、基金销售机构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rPr>
                <w:rStyle w:val="a6"/>
                <w:rFonts w:ascii="宋体" w:hAnsi="宋体"/>
              </w:rPr>
            </w:pPr>
            <w:r>
              <w:rPr>
                <w:rStyle w:val="a6"/>
                <w:rFonts w:ascii="宋体" w:hAnsi="宋体"/>
              </w:rPr>
              <w:t>中信银行股份有限公司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Style w:val="a6"/>
                <w:rFonts w:ascii="宋体" w:hAnsi="宋体"/>
              </w:rPr>
            </w:pPr>
            <w:r>
              <w:rPr>
                <w:rStyle w:val="a6"/>
                <w:rFonts w:ascii="宋体" w:hAnsi="宋体"/>
              </w:rPr>
              <w:t>基金托管人、基金销售机构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基金管理人的股东、基金销售机构</w:t>
            </w:r>
          </w:p>
        </w:tc>
      </w:tr>
    </w:tbl>
    <w:p w:rsidR="00E64EA4" w:rsidRDefault="00E64EA4" w:rsidP="00E64EA4">
      <w:pPr>
        <w:widowControl/>
        <w:spacing w:before="150" w:after="150" w:line="298" w:lineRule="atLeast"/>
        <w:jc w:val="lef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注：下述关联交易均在正常业务范围内按一般商业条款订立。</w:t>
      </w:r>
    </w:p>
    <w:p w:rsidR="00E64EA4" w:rsidRPr="00083EEB" w:rsidRDefault="00E64EA4" w:rsidP="00E64EA4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szCs w:val="24"/>
        </w:rPr>
        <w:lastRenderedPageBreak/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C85F8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国开泰富开航灵活配置混合型发起式证券投资基金</w:t>
      </w:r>
      <w:r w:rsidRPr="00CE153F"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年中期报告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</w:t>
      </w:r>
      <w:r w:rsidR="007E645A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6.4.9.2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本报告期与基金发生关联交易的各关联方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的内容进行更正，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更正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后内容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2"/>
        <w:gridCol w:w="4572"/>
      </w:tblGrid>
      <w:tr w:rsidR="00E64EA4" w:rsidTr="00E46AFC">
        <w:tc>
          <w:tcPr>
            <w:tcW w:w="3842" w:type="dxa"/>
            <w:shd w:val="clear" w:color="auto" w:fill="D9D9D9"/>
          </w:tcPr>
          <w:p w:rsidR="00E64EA4" w:rsidRDefault="00E64EA4" w:rsidP="00E46AFC">
            <w:pPr>
              <w:pStyle w:val="a7"/>
              <w:spacing w:line="240" w:lineRule="auto"/>
            </w:pPr>
            <w:bookmarkStart w:id="0" w:name="m07_04_09_02_tab"/>
            <w:r>
              <w:rPr>
                <w:rFonts w:hint="eastAsia"/>
              </w:rPr>
              <w:t>关联方名称</w:t>
            </w:r>
          </w:p>
        </w:tc>
        <w:tc>
          <w:tcPr>
            <w:tcW w:w="4572" w:type="dxa"/>
            <w:shd w:val="clear" w:color="auto" w:fill="D9D9D9"/>
          </w:tcPr>
          <w:p w:rsidR="00E64EA4" w:rsidRDefault="00E64EA4" w:rsidP="00E46AFC">
            <w:pPr>
              <w:pStyle w:val="a7"/>
              <w:spacing w:line="240" w:lineRule="auto"/>
            </w:pPr>
            <w:r>
              <w:rPr>
                <w:rFonts w:hint="eastAsia"/>
              </w:rPr>
              <w:t>与本基金的关系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jc w:val="left"/>
              <w:rPr>
                <w:rStyle w:val="a6"/>
              </w:rPr>
            </w:pPr>
            <w:r>
              <w:rPr>
                <w:rFonts w:ascii="宋体" w:hAnsi="宋体"/>
                <w:szCs w:val="24"/>
              </w:rPr>
              <w:t>国开泰富基金管理有限责任公司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Style w:val="a6"/>
              </w:rPr>
            </w:pPr>
            <w:r>
              <w:rPr>
                <w:rFonts w:ascii="宋体" w:hAnsi="宋体"/>
                <w:szCs w:val="24"/>
              </w:rPr>
              <w:t>基金管理人、基金注册登记机构、基金销售机构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中国农业银行股份有限公司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基金托管人、基金销售机构</w:t>
            </w:r>
          </w:p>
        </w:tc>
      </w:tr>
      <w:tr w:rsidR="00E64EA4" w:rsidTr="00E46AFC">
        <w:tc>
          <w:tcPr>
            <w:tcW w:w="384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4572" w:type="dxa"/>
            <w:vAlign w:val="center"/>
          </w:tcPr>
          <w:p w:rsidR="00E64EA4" w:rsidRDefault="00E64EA4" w:rsidP="00E46AFC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基金管理人的股东、基金销售机构</w:t>
            </w:r>
          </w:p>
        </w:tc>
      </w:tr>
    </w:tbl>
    <w:bookmarkEnd w:id="0"/>
    <w:p w:rsidR="00E64EA4" w:rsidRPr="00083EEB" w:rsidRDefault="00E64EA4" w:rsidP="00E64EA4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szCs w:val="24"/>
        </w:rPr>
        <w:t>注：下述关联交易均在正常业务范围内按一般商业条款订立。</w:t>
      </w:r>
    </w:p>
    <w:p w:rsidR="00E64EA4" w:rsidRDefault="00E64EA4" w:rsidP="00E64EA4">
      <w:pPr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（四）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C85F8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国开泰富开航灵活配置混合型发起式证券投资基金</w:t>
      </w:r>
      <w:r w:rsidRPr="00CE153F"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年中期报告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6.4.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10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</w:t>
      </w:r>
      <w:r w:rsidRPr="00CD0C4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通过关联方交易单元进行的交易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的内容进行更正，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更正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后内容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如下：</w:t>
      </w:r>
    </w:p>
    <w:p w:rsidR="00E64EA4" w:rsidRDefault="00E64EA4" w:rsidP="00E64EA4">
      <w:pPr>
        <w:spacing w:line="360" w:lineRule="auto"/>
        <w:ind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6.4.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10</w:t>
      </w:r>
      <w:r w:rsidRPr="00083EEB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</w:t>
      </w:r>
      <w:r w:rsidRPr="00CD0C4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通过关联方交易单元进行的交易</w:t>
      </w:r>
    </w:p>
    <w:p w:rsidR="00E64EA4" w:rsidRDefault="007E645A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6.4.10.1.1</w:t>
      </w:r>
      <w:r w:rsidR="00E64EA4" w:rsidRPr="00CD0C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股票交易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5"/>
        <w:gridCol w:w="1936"/>
        <w:gridCol w:w="1469"/>
        <w:gridCol w:w="1835"/>
        <w:gridCol w:w="1705"/>
      </w:tblGrid>
      <w:tr w:rsidR="00E64EA4" w:rsidTr="00E46AFC">
        <w:trPr>
          <w:trHeight w:val="244"/>
          <w:jc w:val="center"/>
        </w:trPr>
        <w:tc>
          <w:tcPr>
            <w:tcW w:w="1485" w:type="dxa"/>
            <w:vMerge w:val="restart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关联方名称</w:t>
            </w: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本期</w:t>
            </w:r>
            <w:r>
              <w:t xml:space="preserve"> 2020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2020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上年度可比期间</w:t>
            </w:r>
            <w:r>
              <w:t xml:space="preserve"> 2019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2019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</w:tr>
      <w:tr w:rsidR="00E64EA4" w:rsidTr="00E46AFC">
        <w:trPr>
          <w:trHeight w:val="525"/>
          <w:jc w:val="center"/>
        </w:trPr>
        <w:tc>
          <w:tcPr>
            <w:tcW w:w="1485" w:type="dxa"/>
            <w:vMerge/>
            <w:shd w:val="clear" w:color="auto" w:fill="D9D9D9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6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成交金额</w:t>
            </w:r>
          </w:p>
        </w:tc>
        <w:tc>
          <w:tcPr>
            <w:tcW w:w="146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占当期股票成交总额的比例</w:t>
            </w:r>
          </w:p>
        </w:tc>
        <w:tc>
          <w:tcPr>
            <w:tcW w:w="183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成交金额</w:t>
            </w:r>
          </w:p>
        </w:tc>
        <w:tc>
          <w:tcPr>
            <w:tcW w:w="170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占当期股票成交总额的比例</w:t>
            </w:r>
          </w:p>
        </w:tc>
      </w:tr>
      <w:tr w:rsidR="00E64EA4" w:rsidTr="00E46AFC">
        <w:trPr>
          <w:trHeight w:val="536"/>
          <w:jc w:val="center"/>
        </w:trPr>
        <w:tc>
          <w:tcPr>
            <w:tcW w:w="1485" w:type="dxa"/>
            <w:vAlign w:val="center"/>
          </w:tcPr>
          <w:p w:rsidR="00E64EA4" w:rsidRDefault="005A79B3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1936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21,947,160.41</w:t>
            </w:r>
          </w:p>
        </w:tc>
        <w:tc>
          <w:tcPr>
            <w:tcW w:w="1469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13.02%</w:t>
            </w:r>
          </w:p>
        </w:tc>
        <w:tc>
          <w:tcPr>
            <w:tcW w:w="1835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</w:tbl>
    <w:p w:rsidR="00E64EA4" w:rsidRPr="00D5702C" w:rsidRDefault="007E645A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6.4.10.1.2</w:t>
      </w:r>
      <w:r w:rsidR="00E64EA4"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权证交易</w:t>
      </w:r>
    </w:p>
    <w:p w:rsidR="00E64EA4" w:rsidRPr="00D5702C" w:rsidRDefault="00E64EA4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无。</w:t>
      </w:r>
    </w:p>
    <w:p w:rsidR="00E64EA4" w:rsidRDefault="007E645A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6.4.10.1.3</w:t>
      </w:r>
      <w:r w:rsidR="00E64EA4"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债券交易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5"/>
        <w:gridCol w:w="1936"/>
        <w:gridCol w:w="1469"/>
        <w:gridCol w:w="1693"/>
        <w:gridCol w:w="1847"/>
      </w:tblGrid>
      <w:tr w:rsidR="00E64EA4" w:rsidTr="00E46AFC">
        <w:trPr>
          <w:trHeight w:val="244"/>
          <w:jc w:val="center"/>
        </w:trPr>
        <w:tc>
          <w:tcPr>
            <w:tcW w:w="1485" w:type="dxa"/>
            <w:vMerge w:val="restart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关联方名称</w:t>
            </w: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本期</w:t>
            </w:r>
            <w:r>
              <w:t xml:space="preserve"> 2020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2020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上年度可比期间</w:t>
            </w:r>
            <w:r>
              <w:t xml:space="preserve"> 2019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2019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</w:tr>
      <w:tr w:rsidR="00E64EA4" w:rsidTr="00E46AFC">
        <w:trPr>
          <w:trHeight w:val="525"/>
          <w:jc w:val="center"/>
        </w:trPr>
        <w:tc>
          <w:tcPr>
            <w:tcW w:w="1485" w:type="dxa"/>
            <w:vMerge/>
            <w:shd w:val="clear" w:color="auto" w:fill="D9D9D9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6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成交金额</w:t>
            </w:r>
          </w:p>
        </w:tc>
        <w:tc>
          <w:tcPr>
            <w:tcW w:w="146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占当期债券成交总额的比例</w:t>
            </w:r>
          </w:p>
        </w:tc>
        <w:tc>
          <w:tcPr>
            <w:tcW w:w="1693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成交金额</w:t>
            </w:r>
          </w:p>
        </w:tc>
        <w:tc>
          <w:tcPr>
            <w:tcW w:w="184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占当期债券成交总额的比例</w:t>
            </w:r>
          </w:p>
        </w:tc>
      </w:tr>
      <w:tr w:rsidR="00E64EA4" w:rsidTr="00E46AFC">
        <w:trPr>
          <w:trHeight w:val="467"/>
          <w:jc w:val="center"/>
        </w:trPr>
        <w:tc>
          <w:tcPr>
            <w:tcW w:w="1485" w:type="dxa"/>
            <w:vAlign w:val="center"/>
          </w:tcPr>
          <w:p w:rsidR="00E64EA4" w:rsidRDefault="005A79B3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1936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352,375.90</w:t>
            </w:r>
          </w:p>
        </w:tc>
        <w:tc>
          <w:tcPr>
            <w:tcW w:w="1469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10.44%</w:t>
            </w:r>
          </w:p>
        </w:tc>
        <w:tc>
          <w:tcPr>
            <w:tcW w:w="1693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847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</w:tbl>
    <w:p w:rsidR="00E64EA4" w:rsidRPr="00D5702C" w:rsidRDefault="007E645A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6.4.10.1.4</w:t>
      </w:r>
      <w:r w:rsidR="00E64EA4"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债券回购交易</w:t>
      </w:r>
    </w:p>
    <w:p w:rsidR="00E64EA4" w:rsidRPr="00D5702C" w:rsidRDefault="00E64EA4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无。</w:t>
      </w:r>
    </w:p>
    <w:p w:rsidR="00E64EA4" w:rsidRDefault="007E645A" w:rsidP="00E64EA4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6.4.10.1.5</w:t>
      </w:r>
      <w:r w:rsidR="00E64EA4" w:rsidRPr="00D570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应支付关联方的佣金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5"/>
        <w:gridCol w:w="1936"/>
        <w:gridCol w:w="1469"/>
        <w:gridCol w:w="1835"/>
        <w:gridCol w:w="1705"/>
      </w:tblGrid>
      <w:tr w:rsidR="00E64EA4" w:rsidTr="00E46AFC">
        <w:trPr>
          <w:trHeight w:val="441"/>
          <w:jc w:val="center"/>
        </w:trPr>
        <w:tc>
          <w:tcPr>
            <w:tcW w:w="1485" w:type="dxa"/>
            <w:vMerge w:val="restart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关联方名称</w:t>
            </w:r>
          </w:p>
        </w:tc>
        <w:tc>
          <w:tcPr>
            <w:tcW w:w="6945" w:type="dxa"/>
            <w:gridSpan w:val="4"/>
            <w:shd w:val="clear" w:color="auto" w:fill="D9D9D9"/>
            <w:vAlign w:val="center"/>
          </w:tcPr>
          <w:p w:rsidR="00E64EA4" w:rsidRDefault="00E64EA4" w:rsidP="00E46AFC">
            <w:pPr>
              <w:pStyle w:val="a7"/>
              <w:spacing w:line="240" w:lineRule="auto"/>
            </w:pPr>
            <w:r>
              <w:t>本期</w:t>
            </w:r>
            <w:r>
              <w:t xml:space="preserve"> </w:t>
            </w:r>
          </w:p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2020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2020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</w:tr>
      <w:tr w:rsidR="00E64EA4" w:rsidTr="00E46AFC">
        <w:trPr>
          <w:trHeight w:val="525"/>
          <w:jc w:val="center"/>
        </w:trPr>
        <w:tc>
          <w:tcPr>
            <w:tcW w:w="1485" w:type="dxa"/>
            <w:vMerge/>
            <w:shd w:val="clear" w:color="auto" w:fill="D9D9D9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6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当期佣金</w:t>
            </w:r>
          </w:p>
        </w:tc>
        <w:tc>
          <w:tcPr>
            <w:tcW w:w="146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占当期佣金总量的比例</w:t>
            </w:r>
          </w:p>
        </w:tc>
        <w:tc>
          <w:tcPr>
            <w:tcW w:w="183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期末应付佣金余额</w:t>
            </w:r>
          </w:p>
        </w:tc>
        <w:tc>
          <w:tcPr>
            <w:tcW w:w="170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EA4" w:rsidRDefault="00E64EA4" w:rsidP="00E46AFC">
            <w:pPr>
              <w:pStyle w:val="a7"/>
              <w:spacing w:line="240" w:lineRule="auto"/>
              <w:rPr>
                <w:szCs w:val="21"/>
              </w:rPr>
            </w:pPr>
            <w:r>
              <w:t>占期末应付佣金</w:t>
            </w:r>
            <w:r>
              <w:t xml:space="preserve"> </w:t>
            </w:r>
            <w:r>
              <w:t>总额的比例</w:t>
            </w:r>
          </w:p>
        </w:tc>
      </w:tr>
      <w:tr w:rsidR="00E64EA4" w:rsidTr="00E46AFC">
        <w:trPr>
          <w:trHeight w:val="5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E64EA4" w:rsidRDefault="005A79B3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15,611.42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11.89%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15,611.42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27.72%</w:t>
            </w:r>
          </w:p>
        </w:tc>
      </w:tr>
      <w:tr w:rsidR="00E64EA4" w:rsidTr="00E46AFC">
        <w:trPr>
          <w:trHeight w:val="362"/>
          <w:jc w:val="center"/>
        </w:trPr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  <w:r>
              <w:t>关联方名称</w:t>
            </w:r>
          </w:p>
        </w:tc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:rsidR="00E64EA4" w:rsidRDefault="00E64EA4" w:rsidP="00E46AFC">
            <w:pPr>
              <w:pStyle w:val="a7"/>
              <w:spacing w:line="240" w:lineRule="auto"/>
            </w:pPr>
            <w:r>
              <w:t>上年度可比期间</w:t>
            </w:r>
          </w:p>
          <w:p w:rsidR="00E64EA4" w:rsidRPr="00341369" w:rsidRDefault="00E64EA4" w:rsidP="00E46AFC">
            <w:pPr>
              <w:pStyle w:val="a7"/>
              <w:spacing w:line="240" w:lineRule="auto"/>
            </w:pPr>
            <w:r>
              <w:t xml:space="preserve"> 2019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</w:t>
            </w:r>
            <w:r>
              <w:t>2019</w:t>
            </w:r>
            <w:r>
              <w:t>年</w:t>
            </w:r>
            <w:r>
              <w:t>6</w:t>
            </w:r>
            <w:r>
              <w:t>月</w:t>
            </w:r>
            <w:r>
              <w:t>30</w:t>
            </w:r>
            <w:r>
              <w:t>日</w:t>
            </w:r>
          </w:p>
        </w:tc>
      </w:tr>
      <w:tr w:rsidR="00E64EA4" w:rsidTr="00E46AFC">
        <w:trPr>
          <w:trHeight w:val="362"/>
          <w:jc w:val="center"/>
        </w:trPr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  <w:r>
              <w:t>当期佣金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  <w:r>
              <w:t>占当期佣金总量的比例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  <w:r>
              <w:t>期末应付佣金余额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E64EA4" w:rsidRPr="00341369" w:rsidRDefault="00E64EA4" w:rsidP="00E46AFC">
            <w:pPr>
              <w:pStyle w:val="a7"/>
              <w:spacing w:line="240" w:lineRule="auto"/>
            </w:pPr>
            <w:r>
              <w:t>占期末应付佣金</w:t>
            </w:r>
            <w:r>
              <w:t xml:space="preserve"> </w:t>
            </w:r>
            <w:r>
              <w:t>总额的比例</w:t>
            </w:r>
          </w:p>
        </w:tc>
      </w:tr>
      <w:tr w:rsidR="00E64EA4" w:rsidTr="00E46AFC">
        <w:trPr>
          <w:trHeight w:val="556"/>
          <w:jc w:val="center"/>
        </w:trPr>
        <w:tc>
          <w:tcPr>
            <w:tcW w:w="1485" w:type="dxa"/>
            <w:vAlign w:val="center"/>
          </w:tcPr>
          <w:p w:rsidR="00E64EA4" w:rsidRDefault="005A79B3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4"/>
              </w:rPr>
              <w:t>国开证券股份有限公司</w:t>
            </w:r>
          </w:p>
        </w:tc>
        <w:tc>
          <w:tcPr>
            <w:tcW w:w="1936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469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835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705" w:type="dxa"/>
            <w:vAlign w:val="center"/>
          </w:tcPr>
          <w:p w:rsidR="00E64EA4" w:rsidRDefault="00E64EA4" w:rsidP="00E46A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</w:tbl>
    <w:p w:rsidR="00E64EA4" w:rsidRPr="00E64EA4" w:rsidRDefault="00E64EA4" w:rsidP="00E64EA4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t>注：上述佣金按市场佣金率计算，以扣除由中国证券登记结算有限责任公司收取证管费、经手费和由券商承担的证券结算风险基金后的净额列示。</w:t>
      </w:r>
      <w:r>
        <w:t xml:space="preserve"> </w:t>
      </w:r>
    </w:p>
    <w:p w:rsidR="00CE153F" w:rsidRPr="00CE153F" w:rsidRDefault="00CE153F" w:rsidP="00E64EA4">
      <w:pPr>
        <w:widowControl/>
        <w:spacing w:before="150" w:after="150" w:line="298" w:lineRule="atLeast"/>
        <w:ind w:firstLine="40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除以上内容需更正以外，其他内容不变。由此给投资者带来的不便，</w:t>
      </w:r>
      <w:r w:rsidR="00C85F8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公司致以诚</w:t>
      </w:r>
      <w:bookmarkStart w:id="1" w:name="_GoBack"/>
      <w:bookmarkEnd w:id="1"/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挚的歉意。</w:t>
      </w:r>
    </w:p>
    <w:p w:rsidR="00CE153F" w:rsidRPr="00CE153F" w:rsidRDefault="00CE153F" w:rsidP="00CE153F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E153F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 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特此公告。</w:t>
      </w:r>
    </w:p>
    <w:p w:rsidR="00CE153F" w:rsidRDefault="00CE153F" w:rsidP="00CE153F">
      <w:pPr>
        <w:widowControl/>
        <w:spacing w:before="150" w:after="150" w:line="298" w:lineRule="atLeast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 w:rsidRPr="00CE153F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 </w:t>
      </w:r>
    </w:p>
    <w:p w:rsidR="00CE153F" w:rsidRPr="00CE153F" w:rsidRDefault="00CE153F" w:rsidP="00CE153F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国开泰富基金管理有限责任公司</w:t>
      </w:r>
    </w:p>
    <w:p w:rsidR="00CE153F" w:rsidRPr="00CE153F" w:rsidRDefault="00CE153F" w:rsidP="00CE153F">
      <w:pPr>
        <w:widowControl/>
        <w:spacing w:before="150" w:after="150" w:line="298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E153F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 </w:t>
      </w:r>
      <w:r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  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="007564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E64EA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7564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7E645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CE15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B40A0F" w:rsidRDefault="00B40A0F"/>
    <w:sectPr w:rsidR="00B40A0F" w:rsidSect="00B4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75" w:rsidRDefault="00834375" w:rsidP="00A16AB8">
      <w:r>
        <w:separator/>
      </w:r>
    </w:p>
  </w:endnote>
  <w:endnote w:type="continuationSeparator" w:id="0">
    <w:p w:rsidR="00834375" w:rsidRDefault="00834375" w:rsidP="00A1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75" w:rsidRDefault="00834375" w:rsidP="00A16AB8">
      <w:r>
        <w:separator/>
      </w:r>
    </w:p>
  </w:footnote>
  <w:footnote w:type="continuationSeparator" w:id="0">
    <w:p w:rsidR="00834375" w:rsidRDefault="00834375" w:rsidP="00A1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53F"/>
    <w:rsid w:val="000008D4"/>
    <w:rsid w:val="000734B0"/>
    <w:rsid w:val="00083EEB"/>
    <w:rsid w:val="00124895"/>
    <w:rsid w:val="00180EC6"/>
    <w:rsid w:val="001C15FF"/>
    <w:rsid w:val="001D1FFC"/>
    <w:rsid w:val="00203340"/>
    <w:rsid w:val="00226155"/>
    <w:rsid w:val="00341369"/>
    <w:rsid w:val="003C3B8E"/>
    <w:rsid w:val="004B69D5"/>
    <w:rsid w:val="004D450C"/>
    <w:rsid w:val="00552665"/>
    <w:rsid w:val="00582C43"/>
    <w:rsid w:val="005A79B3"/>
    <w:rsid w:val="006921C4"/>
    <w:rsid w:val="007564B8"/>
    <w:rsid w:val="007614F2"/>
    <w:rsid w:val="007910BB"/>
    <w:rsid w:val="007C02F2"/>
    <w:rsid w:val="007C4A3F"/>
    <w:rsid w:val="007E645A"/>
    <w:rsid w:val="007F1DCA"/>
    <w:rsid w:val="00810C88"/>
    <w:rsid w:val="00823D86"/>
    <w:rsid w:val="00834375"/>
    <w:rsid w:val="008452AA"/>
    <w:rsid w:val="00854CA4"/>
    <w:rsid w:val="009C0F45"/>
    <w:rsid w:val="00A16AB8"/>
    <w:rsid w:val="00B40A0F"/>
    <w:rsid w:val="00B679CD"/>
    <w:rsid w:val="00C85F84"/>
    <w:rsid w:val="00CD0C46"/>
    <w:rsid w:val="00CE153F"/>
    <w:rsid w:val="00D44311"/>
    <w:rsid w:val="00D5702C"/>
    <w:rsid w:val="00DC566F"/>
    <w:rsid w:val="00E64EA4"/>
    <w:rsid w:val="00EF103D"/>
    <w:rsid w:val="00FB2ABE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1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A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AB8"/>
    <w:rPr>
      <w:sz w:val="18"/>
      <w:szCs w:val="18"/>
    </w:rPr>
  </w:style>
  <w:style w:type="character" w:customStyle="1" w:styleId="a6">
    <w:name w:val="样式 宋体"/>
    <w:rsid w:val="00083EEB"/>
    <w:rPr>
      <w:rFonts w:ascii="Times New Roman" w:eastAsia="宋体" w:hAnsi="Times New Roman"/>
    </w:rPr>
  </w:style>
  <w:style w:type="paragraph" w:customStyle="1" w:styleId="a7">
    <w:name w:val="样式 宋体 居中"/>
    <w:basedOn w:val="a"/>
    <w:rsid w:val="00083EEB"/>
    <w:pPr>
      <w:spacing w:line="360" w:lineRule="auto"/>
      <w:jc w:val="center"/>
    </w:pPr>
    <w:rPr>
      <w:rFonts w:ascii="Times New Roman" w:eastAsia="宋体" w:hAnsi="Times New Roman"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1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A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AB8"/>
    <w:rPr>
      <w:sz w:val="18"/>
      <w:szCs w:val="18"/>
    </w:rPr>
  </w:style>
  <w:style w:type="character" w:customStyle="1" w:styleId="a6">
    <w:name w:val="样式 宋体"/>
    <w:rsid w:val="00083EEB"/>
    <w:rPr>
      <w:rFonts w:ascii="Times New Roman" w:eastAsia="宋体" w:hAnsi="Times New Roman"/>
    </w:rPr>
  </w:style>
  <w:style w:type="paragraph" w:customStyle="1" w:styleId="a7">
    <w:name w:val="样式 宋体 居中"/>
    <w:basedOn w:val="a"/>
    <w:rsid w:val="00083EEB"/>
    <w:pPr>
      <w:spacing w:line="360" w:lineRule="auto"/>
      <w:jc w:val="center"/>
    </w:pPr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4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yaojie</dc:creator>
  <cp:lastModifiedBy>ZHONGM</cp:lastModifiedBy>
  <cp:revision>2</cp:revision>
  <cp:lastPrinted>2020-12-16T06:58:00Z</cp:lastPrinted>
  <dcterms:created xsi:type="dcterms:W3CDTF">2021-01-08T16:22:00Z</dcterms:created>
  <dcterms:modified xsi:type="dcterms:W3CDTF">2021-01-08T16:22:00Z</dcterms:modified>
</cp:coreProperties>
</file>