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85" w:rsidRDefault="00DD52DD">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海富通添益货币市场基金调整大额申购和转换转入业务金额限额的公告</w:t>
      </w:r>
    </w:p>
    <w:p w:rsidR="002B7B85" w:rsidRDefault="00DD52DD">
      <w:pPr>
        <w:spacing w:line="560" w:lineRule="exact"/>
        <w:jc w:val="center"/>
        <w:rPr>
          <w:rFonts w:asciiTheme="minorEastAsia" w:eastAsiaTheme="minorEastAsia" w:hAnsiTheme="minorEastAsia" w:cs="宋体"/>
          <w:bCs/>
          <w:sz w:val="24"/>
          <w:szCs w:val="24"/>
        </w:rPr>
      </w:pPr>
      <w:r>
        <w:rPr>
          <w:rFonts w:asciiTheme="minorEastAsia" w:eastAsiaTheme="minorEastAsia" w:hAnsiTheme="minorEastAsia"/>
          <w:color w:val="000000"/>
          <w:sz w:val="24"/>
          <w:szCs w:val="24"/>
        </w:rPr>
        <w:t>公告送出日期：</w:t>
      </w:r>
      <w:r>
        <w:rPr>
          <w:rFonts w:asciiTheme="minorEastAsia" w:eastAsiaTheme="minorEastAsia" w:hAnsiTheme="minorEastAsia" w:cs="宋体"/>
          <w:bCs/>
          <w:sz w:val="24"/>
          <w:szCs w:val="24"/>
        </w:rPr>
        <w:t>2021年1月8日</w:t>
      </w:r>
    </w:p>
    <w:p w:rsidR="002B7B85" w:rsidRDefault="002B7B85">
      <w:pPr>
        <w:spacing w:line="560" w:lineRule="exact"/>
        <w:jc w:val="center"/>
        <w:rPr>
          <w:rFonts w:asciiTheme="minorEastAsia" w:eastAsiaTheme="minorEastAsia" w:hAnsiTheme="minorEastAsia"/>
          <w:color w:val="000000"/>
          <w:sz w:val="24"/>
          <w:szCs w:val="24"/>
        </w:rPr>
      </w:pPr>
    </w:p>
    <w:p w:rsidR="002B7B85" w:rsidRDefault="00DD52DD">
      <w:pPr>
        <w:pStyle w:val="2"/>
        <w:spacing w:line="560" w:lineRule="exact"/>
        <w:rPr>
          <w:rFonts w:asciiTheme="minorEastAsia" w:eastAsiaTheme="minorEastAsia" w:hAnsiTheme="minorEastAsia"/>
          <w:bCs w:val="0"/>
          <w:color w:val="000000"/>
          <w:sz w:val="24"/>
          <w:szCs w:val="24"/>
        </w:rPr>
      </w:pPr>
      <w:bookmarkStart w:id="0" w:name="_Toc275961405"/>
      <w:r>
        <w:rPr>
          <w:rFonts w:asciiTheme="minorEastAsia" w:eastAsiaTheme="minorEastAsia" w:hAnsiTheme="minorEastAsia"/>
          <w:bCs w:val="0"/>
          <w:color w:val="000000"/>
          <w:sz w:val="24"/>
          <w:szCs w:val="24"/>
        </w:rPr>
        <w:t>1 公告基本信息</w:t>
      </w:r>
      <w:bookmarkEnd w:id="0"/>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4"/>
        <w:gridCol w:w="3085"/>
        <w:gridCol w:w="21"/>
        <w:gridCol w:w="3387"/>
        <w:gridCol w:w="41"/>
      </w:tblGrid>
      <w:tr w:rsidR="002B7B85" w:rsidTr="00F32386">
        <w:trPr>
          <w:gridAfter w:val="1"/>
          <w:wAfter w:w="41" w:type="dxa"/>
          <w:jc w:val="center"/>
        </w:trPr>
        <w:tc>
          <w:tcPr>
            <w:tcW w:w="3064" w:type="dxa"/>
          </w:tcPr>
          <w:p w:rsidR="002B7B85" w:rsidRDefault="00DD52DD">
            <w:pPr>
              <w:spacing w:line="560" w:lineRule="exact"/>
              <w:rPr>
                <w:rFonts w:asciiTheme="minorEastAsia" w:eastAsiaTheme="minorEastAsia" w:hAnsiTheme="minorEastAsia"/>
                <w:color w:val="000000"/>
                <w:sz w:val="24"/>
                <w:szCs w:val="24"/>
                <w:highlight w:val="cyan"/>
              </w:rPr>
            </w:pPr>
            <w:r>
              <w:rPr>
                <w:rFonts w:asciiTheme="minorEastAsia" w:eastAsiaTheme="minorEastAsia" w:hAnsiTheme="minorEastAsia"/>
                <w:color w:val="000000"/>
                <w:sz w:val="24"/>
                <w:szCs w:val="24"/>
              </w:rPr>
              <w:t>基金名称</w:t>
            </w:r>
          </w:p>
        </w:tc>
        <w:tc>
          <w:tcPr>
            <w:tcW w:w="6493" w:type="dxa"/>
            <w:gridSpan w:val="3"/>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海富通添益货币市场基金</w:t>
            </w:r>
          </w:p>
        </w:tc>
      </w:tr>
      <w:tr w:rsidR="002B7B85" w:rsidTr="00F32386">
        <w:trPr>
          <w:gridAfter w:val="1"/>
          <w:wAfter w:w="41" w:type="dxa"/>
          <w:jc w:val="center"/>
        </w:trPr>
        <w:tc>
          <w:tcPr>
            <w:tcW w:w="3064" w:type="dxa"/>
          </w:tcPr>
          <w:p w:rsidR="002B7B85" w:rsidRDefault="00DD52D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基金简称</w:t>
            </w:r>
          </w:p>
        </w:tc>
        <w:tc>
          <w:tcPr>
            <w:tcW w:w="6493" w:type="dxa"/>
            <w:gridSpan w:val="3"/>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海富通添益货币</w:t>
            </w:r>
          </w:p>
        </w:tc>
      </w:tr>
      <w:tr w:rsidR="002B7B85" w:rsidTr="00F32386">
        <w:trPr>
          <w:gridAfter w:val="1"/>
          <w:wAfter w:w="41" w:type="dxa"/>
          <w:jc w:val="center"/>
        </w:trPr>
        <w:tc>
          <w:tcPr>
            <w:tcW w:w="3064" w:type="dxa"/>
            <w:vAlign w:val="center"/>
          </w:tcPr>
          <w:p w:rsidR="002B7B85" w:rsidRDefault="00DD52D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基金主代码</w:t>
            </w:r>
          </w:p>
        </w:tc>
        <w:tc>
          <w:tcPr>
            <w:tcW w:w="6493" w:type="dxa"/>
            <w:gridSpan w:val="3"/>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004770</w:t>
            </w:r>
          </w:p>
        </w:tc>
      </w:tr>
      <w:tr w:rsidR="002B7B85" w:rsidTr="00F32386">
        <w:trPr>
          <w:gridAfter w:val="1"/>
          <w:wAfter w:w="41" w:type="dxa"/>
          <w:jc w:val="center"/>
        </w:trPr>
        <w:tc>
          <w:tcPr>
            <w:tcW w:w="3064" w:type="dxa"/>
          </w:tcPr>
          <w:p w:rsidR="002B7B85" w:rsidRDefault="00DD52D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基金管理人名称</w:t>
            </w:r>
          </w:p>
        </w:tc>
        <w:tc>
          <w:tcPr>
            <w:tcW w:w="6493" w:type="dxa"/>
            <w:gridSpan w:val="3"/>
            <w:vAlign w:val="center"/>
          </w:tcPr>
          <w:p w:rsidR="002B7B85" w:rsidRDefault="00DD52DD">
            <w:pPr>
              <w:rPr>
                <w:rFonts w:asciiTheme="minorEastAsia" w:eastAsiaTheme="minorEastAsia" w:hAnsiTheme="minorEastAsia"/>
                <w:sz w:val="24"/>
                <w:szCs w:val="24"/>
              </w:rPr>
            </w:pPr>
            <w:r>
              <w:rPr>
                <w:rFonts w:asciiTheme="minorEastAsia" w:eastAsiaTheme="minorEastAsia" w:hAnsiTheme="minorEastAsia"/>
                <w:sz w:val="24"/>
                <w:szCs w:val="24"/>
              </w:rPr>
              <w:t>海富通基金管理有限公司</w:t>
            </w:r>
          </w:p>
        </w:tc>
      </w:tr>
      <w:tr w:rsidR="002B7B85" w:rsidTr="00F32386">
        <w:trPr>
          <w:gridAfter w:val="1"/>
          <w:wAfter w:w="41" w:type="dxa"/>
          <w:jc w:val="center"/>
        </w:trPr>
        <w:tc>
          <w:tcPr>
            <w:tcW w:w="3064" w:type="dxa"/>
          </w:tcPr>
          <w:p w:rsidR="002B7B85" w:rsidRDefault="00DD52D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公告依据</w:t>
            </w:r>
          </w:p>
        </w:tc>
        <w:tc>
          <w:tcPr>
            <w:tcW w:w="6493" w:type="dxa"/>
            <w:gridSpan w:val="3"/>
            <w:vAlign w:val="center"/>
          </w:tcPr>
          <w:p w:rsidR="002B7B85" w:rsidRDefault="00DD52DD">
            <w:pPr>
              <w:rPr>
                <w:rFonts w:asciiTheme="minorEastAsia" w:eastAsiaTheme="minorEastAsia" w:hAnsiTheme="minorEastAsia"/>
                <w:sz w:val="24"/>
                <w:szCs w:val="24"/>
              </w:rPr>
            </w:pPr>
            <w:r>
              <w:rPr>
                <w:rFonts w:asciiTheme="minorEastAsia" w:eastAsiaTheme="minorEastAsia" w:hAnsiTheme="minorEastAsia"/>
                <w:sz w:val="24"/>
                <w:szCs w:val="24"/>
              </w:rPr>
              <w:t>《海富通添益货币市场基金基金合同》、《海富通添益货币市场基金招募说明书》</w:t>
            </w:r>
          </w:p>
        </w:tc>
      </w:tr>
      <w:tr w:rsidR="00F32386" w:rsidTr="00F32386">
        <w:trPr>
          <w:gridAfter w:val="1"/>
          <w:wAfter w:w="41" w:type="dxa"/>
          <w:jc w:val="center"/>
        </w:trPr>
        <w:tc>
          <w:tcPr>
            <w:tcW w:w="3064" w:type="dxa"/>
            <w:vMerge w:val="restart"/>
            <w:vAlign w:val="center"/>
          </w:tcPr>
          <w:p w:rsidR="00F32386" w:rsidRDefault="00F32386">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Pr>
                <w:rFonts w:asciiTheme="minorEastAsia" w:eastAsiaTheme="minorEastAsia" w:hAnsiTheme="minorEastAsia"/>
                <w:color w:val="000000"/>
                <w:sz w:val="24"/>
                <w:szCs w:val="24"/>
              </w:rPr>
              <w:t>相关业务的起始日、金额及原因说明</w:t>
            </w:r>
          </w:p>
        </w:tc>
        <w:tc>
          <w:tcPr>
            <w:tcW w:w="3085" w:type="dxa"/>
          </w:tcPr>
          <w:p w:rsidR="00F32386" w:rsidRDefault="00F32386">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Pr>
                <w:rFonts w:asciiTheme="minorEastAsia" w:eastAsiaTheme="minorEastAsia" w:hAnsiTheme="minorEastAsia"/>
                <w:color w:val="000000"/>
                <w:sz w:val="24"/>
                <w:szCs w:val="24"/>
              </w:rPr>
              <w:t>大额申购起始日</w:t>
            </w:r>
          </w:p>
        </w:tc>
        <w:tc>
          <w:tcPr>
            <w:tcW w:w="3408" w:type="dxa"/>
            <w:gridSpan w:val="2"/>
            <w:vAlign w:val="center"/>
          </w:tcPr>
          <w:p w:rsidR="00F32386" w:rsidRDefault="00F32386">
            <w:pPr>
              <w:rPr>
                <w:rFonts w:asciiTheme="minorEastAsia" w:eastAsiaTheme="minorEastAsia" w:hAnsiTheme="minorEastAsia"/>
                <w:sz w:val="24"/>
                <w:szCs w:val="24"/>
              </w:rPr>
            </w:pPr>
            <w:r>
              <w:rPr>
                <w:rFonts w:asciiTheme="minorEastAsia" w:eastAsiaTheme="minorEastAsia" w:hAnsiTheme="minorEastAsia" w:hint="eastAsia"/>
                <w:sz w:val="24"/>
                <w:szCs w:val="24"/>
              </w:rPr>
              <w:t>2021年1月11日</w:t>
            </w:r>
          </w:p>
        </w:tc>
      </w:tr>
      <w:tr w:rsidR="00F32386" w:rsidTr="00F32386">
        <w:trPr>
          <w:gridAfter w:val="1"/>
          <w:wAfter w:w="41" w:type="dxa"/>
          <w:jc w:val="center"/>
        </w:trPr>
        <w:tc>
          <w:tcPr>
            <w:tcW w:w="3064" w:type="dxa"/>
            <w:vMerge/>
          </w:tcPr>
          <w:p w:rsidR="00F32386" w:rsidRDefault="00F32386">
            <w:pPr>
              <w:spacing w:line="560" w:lineRule="exact"/>
              <w:rPr>
                <w:rFonts w:asciiTheme="minorEastAsia" w:eastAsiaTheme="minorEastAsia" w:hAnsiTheme="minorEastAsia"/>
                <w:color w:val="000000"/>
                <w:sz w:val="24"/>
                <w:szCs w:val="24"/>
              </w:rPr>
            </w:pPr>
          </w:p>
        </w:tc>
        <w:tc>
          <w:tcPr>
            <w:tcW w:w="3085" w:type="dxa"/>
          </w:tcPr>
          <w:p w:rsidR="00F32386" w:rsidRDefault="00F32386">
            <w:pPr>
              <w:spacing w:line="560" w:lineRule="exact"/>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调整</w:t>
            </w:r>
            <w:r>
              <w:rPr>
                <w:rFonts w:asciiTheme="minorEastAsia" w:eastAsiaTheme="minorEastAsia" w:hAnsiTheme="minorEastAsia"/>
                <w:color w:val="000000"/>
                <w:sz w:val="24"/>
                <w:szCs w:val="24"/>
              </w:rPr>
              <w:t>大额转换转入起始日</w:t>
            </w:r>
          </w:p>
        </w:tc>
        <w:tc>
          <w:tcPr>
            <w:tcW w:w="3408" w:type="dxa"/>
            <w:gridSpan w:val="2"/>
            <w:vAlign w:val="center"/>
          </w:tcPr>
          <w:p w:rsidR="00F32386" w:rsidRDefault="00F32386">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2021年1月11日</w:t>
            </w:r>
          </w:p>
        </w:tc>
      </w:tr>
      <w:tr w:rsidR="00F32386" w:rsidTr="00F32386">
        <w:trPr>
          <w:gridAfter w:val="1"/>
          <w:wAfter w:w="41" w:type="dxa"/>
          <w:jc w:val="center"/>
        </w:trPr>
        <w:tc>
          <w:tcPr>
            <w:tcW w:w="3064" w:type="dxa"/>
            <w:vMerge/>
          </w:tcPr>
          <w:p w:rsidR="00F32386" w:rsidRDefault="00F32386">
            <w:pPr>
              <w:spacing w:line="560" w:lineRule="exact"/>
              <w:rPr>
                <w:rFonts w:asciiTheme="minorEastAsia" w:eastAsiaTheme="minorEastAsia" w:hAnsiTheme="minorEastAsia"/>
                <w:color w:val="000000"/>
                <w:sz w:val="24"/>
                <w:szCs w:val="24"/>
              </w:rPr>
            </w:pPr>
          </w:p>
        </w:tc>
        <w:tc>
          <w:tcPr>
            <w:tcW w:w="3085" w:type="dxa"/>
          </w:tcPr>
          <w:p w:rsidR="00F32386" w:rsidRDefault="00F32386">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限制申购金额（单位：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408" w:type="dxa"/>
            <w:gridSpan w:val="2"/>
            <w:vAlign w:val="center"/>
          </w:tcPr>
          <w:p w:rsidR="00F32386" w:rsidRDefault="00F32386">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50,000,000.00</w:t>
            </w:r>
          </w:p>
        </w:tc>
      </w:tr>
      <w:tr w:rsidR="00F32386" w:rsidTr="00F32386">
        <w:trPr>
          <w:gridAfter w:val="1"/>
          <w:wAfter w:w="41" w:type="dxa"/>
          <w:jc w:val="center"/>
        </w:trPr>
        <w:tc>
          <w:tcPr>
            <w:tcW w:w="3064" w:type="dxa"/>
            <w:vMerge/>
          </w:tcPr>
          <w:p w:rsidR="00F32386" w:rsidRDefault="00F32386">
            <w:pPr>
              <w:spacing w:line="560" w:lineRule="exact"/>
              <w:rPr>
                <w:rFonts w:asciiTheme="minorEastAsia" w:eastAsiaTheme="minorEastAsia" w:hAnsiTheme="minorEastAsia"/>
                <w:color w:val="000000"/>
                <w:sz w:val="24"/>
                <w:szCs w:val="24"/>
              </w:rPr>
            </w:pPr>
          </w:p>
        </w:tc>
        <w:tc>
          <w:tcPr>
            <w:tcW w:w="3085" w:type="dxa"/>
          </w:tcPr>
          <w:p w:rsidR="00F32386" w:rsidRDefault="00F32386">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限制转换转入金额（单位：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408" w:type="dxa"/>
            <w:gridSpan w:val="2"/>
            <w:vAlign w:val="center"/>
          </w:tcPr>
          <w:p w:rsidR="00F32386" w:rsidRDefault="00F32386">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50,000,000.00</w:t>
            </w:r>
          </w:p>
        </w:tc>
      </w:tr>
      <w:tr w:rsidR="00F32386" w:rsidTr="00F32386">
        <w:trPr>
          <w:gridAfter w:val="1"/>
          <w:wAfter w:w="41" w:type="dxa"/>
          <w:jc w:val="center"/>
        </w:trPr>
        <w:tc>
          <w:tcPr>
            <w:tcW w:w="3064" w:type="dxa"/>
            <w:vMerge/>
            <w:vAlign w:val="center"/>
          </w:tcPr>
          <w:p w:rsidR="00F32386" w:rsidRDefault="00F32386">
            <w:pPr>
              <w:spacing w:line="560" w:lineRule="exact"/>
              <w:rPr>
                <w:rFonts w:asciiTheme="minorEastAsia" w:eastAsiaTheme="minorEastAsia" w:hAnsiTheme="minorEastAsia"/>
                <w:color w:val="000000"/>
                <w:sz w:val="24"/>
                <w:szCs w:val="24"/>
              </w:rPr>
            </w:pPr>
          </w:p>
        </w:tc>
        <w:tc>
          <w:tcPr>
            <w:tcW w:w="3085" w:type="dxa"/>
          </w:tcPr>
          <w:p w:rsidR="00F32386" w:rsidRDefault="00F32386" w:rsidP="00700895">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sz w:val="24"/>
                <w:szCs w:val="24"/>
              </w:rPr>
              <w:t>调整</w:t>
            </w:r>
            <w:r>
              <w:rPr>
                <w:rFonts w:asciiTheme="minorEastAsia" w:eastAsiaTheme="minorEastAsia" w:hAnsiTheme="minorEastAsia"/>
                <w:color w:val="000000"/>
                <w:sz w:val="24"/>
                <w:szCs w:val="24"/>
              </w:rPr>
              <w:t>（大额）申购（转换转入、定期定额投资）的原因说明</w:t>
            </w:r>
          </w:p>
        </w:tc>
        <w:tc>
          <w:tcPr>
            <w:tcW w:w="3408" w:type="dxa"/>
            <w:gridSpan w:val="2"/>
          </w:tcPr>
          <w:p w:rsidR="00F32386" w:rsidRDefault="00F32386">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为保护基金份额持有人的利益</w:t>
            </w:r>
          </w:p>
        </w:tc>
      </w:tr>
      <w:tr w:rsidR="002B7B85" w:rsidTr="00F32386">
        <w:trPr>
          <w:jc w:val="center"/>
        </w:trPr>
        <w:tc>
          <w:tcPr>
            <w:tcW w:w="3064" w:type="dxa"/>
            <w:vAlign w:val="center"/>
          </w:tcPr>
          <w:p w:rsidR="002B7B85" w:rsidRDefault="00DD52D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下属分级基金的基金简称</w:t>
            </w:r>
          </w:p>
        </w:tc>
        <w:tc>
          <w:tcPr>
            <w:tcW w:w="3106"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海富通添益货币A</w:t>
            </w:r>
          </w:p>
        </w:tc>
        <w:tc>
          <w:tcPr>
            <w:tcW w:w="3428"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海富通添益货币B</w:t>
            </w:r>
          </w:p>
        </w:tc>
      </w:tr>
      <w:tr w:rsidR="002B7B85" w:rsidTr="00F32386">
        <w:trPr>
          <w:jc w:val="center"/>
        </w:trPr>
        <w:tc>
          <w:tcPr>
            <w:tcW w:w="3064" w:type="dxa"/>
            <w:vAlign w:val="center"/>
          </w:tcPr>
          <w:p w:rsidR="002B7B85" w:rsidRDefault="00DD52DD">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下属分级基金的交易代码</w:t>
            </w:r>
          </w:p>
        </w:tc>
        <w:tc>
          <w:tcPr>
            <w:tcW w:w="3106"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004770</w:t>
            </w:r>
          </w:p>
        </w:tc>
        <w:tc>
          <w:tcPr>
            <w:tcW w:w="3428"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004771</w:t>
            </w:r>
          </w:p>
        </w:tc>
      </w:tr>
      <w:tr w:rsidR="002B7B85" w:rsidTr="00F32386">
        <w:trPr>
          <w:jc w:val="center"/>
        </w:trPr>
        <w:tc>
          <w:tcPr>
            <w:tcW w:w="3064" w:type="dxa"/>
          </w:tcPr>
          <w:p w:rsidR="002B7B85" w:rsidRDefault="00DD52DD" w:rsidP="00CC57D9">
            <w:pPr>
              <w:spacing w:line="560" w:lineRule="exact"/>
              <w:rPr>
                <w:rFonts w:asciiTheme="minorEastAsia" w:eastAsiaTheme="minorEastAsia" w:hAnsiTheme="minorEastAsia"/>
                <w:color w:val="000000"/>
                <w:kern w:val="0"/>
                <w:sz w:val="24"/>
                <w:szCs w:val="24"/>
              </w:rPr>
            </w:pPr>
            <w:r>
              <w:rPr>
                <w:rFonts w:asciiTheme="minorEastAsia" w:eastAsiaTheme="minorEastAsia" w:hAnsiTheme="minorEastAsia"/>
                <w:color w:val="000000"/>
                <w:sz w:val="24"/>
                <w:szCs w:val="24"/>
              </w:rPr>
              <w:t>该分级基金是否暂停（大额）申购（转换转入、定期定额投资）</w:t>
            </w:r>
          </w:p>
        </w:tc>
        <w:tc>
          <w:tcPr>
            <w:tcW w:w="3106"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tc>
        <w:tc>
          <w:tcPr>
            <w:tcW w:w="3428"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是</w:t>
            </w:r>
          </w:p>
        </w:tc>
      </w:tr>
      <w:tr w:rsidR="002B7B85" w:rsidTr="00F32386">
        <w:trPr>
          <w:jc w:val="center"/>
        </w:trPr>
        <w:tc>
          <w:tcPr>
            <w:tcW w:w="3064" w:type="dxa"/>
          </w:tcPr>
          <w:p w:rsidR="002B7B85" w:rsidRDefault="00DD52D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lastRenderedPageBreak/>
              <w:t>下属分级基金的限制申购金额（单位：</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 xml:space="preserve"> ）</w:t>
            </w:r>
          </w:p>
        </w:tc>
        <w:tc>
          <w:tcPr>
            <w:tcW w:w="3106"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50,000,000.00</w:t>
            </w:r>
          </w:p>
        </w:tc>
        <w:tc>
          <w:tcPr>
            <w:tcW w:w="3428" w:type="dxa"/>
            <w:gridSpan w:val="2"/>
            <w:vAlign w:val="center"/>
          </w:tcPr>
          <w:p w:rsidR="002B7B85" w:rsidRDefault="00DD52DD">
            <w:pPr>
              <w:spacing w:line="560" w:lineRule="exact"/>
              <w:rPr>
                <w:rFonts w:asciiTheme="minorEastAsia" w:eastAsiaTheme="minorEastAsia" w:hAnsiTheme="minorEastAsia"/>
                <w:sz w:val="24"/>
                <w:szCs w:val="24"/>
              </w:rPr>
            </w:pPr>
            <w:r>
              <w:rPr>
                <w:rFonts w:asciiTheme="minorEastAsia" w:eastAsiaTheme="minorEastAsia" w:hAnsiTheme="minorEastAsia"/>
                <w:sz w:val="24"/>
                <w:szCs w:val="24"/>
              </w:rPr>
              <w:t>50,000,000.00</w:t>
            </w:r>
          </w:p>
        </w:tc>
      </w:tr>
      <w:tr w:rsidR="002B7B85" w:rsidTr="00F32386">
        <w:trPr>
          <w:jc w:val="center"/>
        </w:trPr>
        <w:tc>
          <w:tcPr>
            <w:tcW w:w="3064" w:type="dxa"/>
          </w:tcPr>
          <w:p w:rsidR="002B7B85" w:rsidRDefault="00DD52DD">
            <w:pPr>
              <w:spacing w:line="560" w:lineRule="exac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 xml:space="preserve">下属分级基金的限制转换转入金额（单位： </w:t>
            </w:r>
            <w:r>
              <w:rPr>
                <w:rFonts w:asciiTheme="minorEastAsia" w:eastAsiaTheme="minorEastAsia" w:hAnsiTheme="minorEastAsia" w:hint="eastAsia"/>
                <w:color w:val="000000"/>
                <w:kern w:val="0"/>
                <w:sz w:val="24"/>
                <w:szCs w:val="24"/>
              </w:rPr>
              <w:t>元</w:t>
            </w:r>
            <w:r>
              <w:rPr>
                <w:rFonts w:asciiTheme="minorEastAsia" w:eastAsiaTheme="minorEastAsia" w:hAnsiTheme="minorEastAsia"/>
                <w:color w:val="000000"/>
                <w:sz w:val="24"/>
                <w:szCs w:val="24"/>
              </w:rPr>
              <w:t>）</w:t>
            </w:r>
          </w:p>
        </w:tc>
        <w:tc>
          <w:tcPr>
            <w:tcW w:w="3106" w:type="dxa"/>
            <w:gridSpan w:val="2"/>
            <w:vAlign w:val="center"/>
          </w:tcPr>
          <w:p w:rsidR="002B7B85" w:rsidRDefault="00DD52DD">
            <w:pPr>
              <w:rPr>
                <w:rFonts w:asciiTheme="minorEastAsia" w:eastAsiaTheme="minorEastAsia" w:hAnsiTheme="minorEastAsia"/>
                <w:sz w:val="24"/>
                <w:szCs w:val="24"/>
              </w:rPr>
            </w:pPr>
            <w:r>
              <w:rPr>
                <w:rFonts w:asciiTheme="minorEastAsia" w:eastAsiaTheme="minorEastAsia" w:hAnsiTheme="minorEastAsia" w:hint="eastAsia"/>
                <w:sz w:val="24"/>
                <w:szCs w:val="24"/>
              </w:rPr>
              <w:t>50,000,000.00</w:t>
            </w:r>
          </w:p>
        </w:tc>
        <w:tc>
          <w:tcPr>
            <w:tcW w:w="3428" w:type="dxa"/>
            <w:gridSpan w:val="2"/>
            <w:vAlign w:val="center"/>
          </w:tcPr>
          <w:p w:rsidR="002B7B85" w:rsidRDefault="00DD52DD">
            <w:pPr>
              <w:rPr>
                <w:rFonts w:asciiTheme="minorEastAsia" w:eastAsiaTheme="minorEastAsia" w:hAnsiTheme="minorEastAsia"/>
                <w:sz w:val="24"/>
                <w:szCs w:val="24"/>
              </w:rPr>
            </w:pPr>
            <w:r>
              <w:rPr>
                <w:rFonts w:asciiTheme="minorEastAsia" w:eastAsiaTheme="minorEastAsia" w:hAnsiTheme="minorEastAsia" w:hint="eastAsia"/>
                <w:sz w:val="24"/>
                <w:szCs w:val="24"/>
              </w:rPr>
              <w:t>50,000,000.00</w:t>
            </w:r>
          </w:p>
        </w:tc>
      </w:tr>
    </w:tbl>
    <w:p w:rsidR="002B7B85" w:rsidRDefault="00DD52DD">
      <w:pPr>
        <w:pStyle w:val="2"/>
        <w:spacing w:line="560" w:lineRule="exact"/>
        <w:rPr>
          <w:rFonts w:asciiTheme="minorEastAsia" w:eastAsiaTheme="minorEastAsia" w:hAnsiTheme="minorEastAsia"/>
          <w:bCs w:val="0"/>
          <w:color w:val="000000"/>
          <w:sz w:val="24"/>
          <w:szCs w:val="24"/>
        </w:rPr>
      </w:pPr>
      <w:bookmarkStart w:id="1" w:name="_Toc275961406"/>
      <w:r>
        <w:rPr>
          <w:rFonts w:asciiTheme="minorEastAsia" w:eastAsiaTheme="minorEastAsia" w:hAnsiTheme="minorEastAsia"/>
          <w:bCs w:val="0"/>
          <w:color w:val="000000"/>
          <w:sz w:val="24"/>
          <w:szCs w:val="24"/>
        </w:rPr>
        <w:t>2其他需要提示的事项</w:t>
      </w:r>
      <w:bookmarkEnd w:id="1"/>
    </w:p>
    <w:p w:rsidR="002B7B85" w:rsidRDefault="00DD52D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1）自2021年1月11日起，本基金管理人将调整本基金大额申购、转换转入业务的限制金额，即对本基金单笔申购申请金额上限由5亿元（详见海富通基金管理有限公司2020年7月3日发布的《海富通添益货币市场基金调整大额申购和转换转入业务金额限额的公告》）调整为5千万元（含5千万元），且单个基金账户单日累计申购、转换转入金额不得超过5千万元。对于超过限额的申请，本基金管理人有权予以拒绝。</w:t>
      </w:r>
    </w:p>
    <w:p w:rsidR="002B7B85" w:rsidRDefault="00DD52D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（2）除有另行公告外，在实施上述限制期间，本基金的赎回等其它业务正常办理。本基金取消上述大额申购、转换转入限制的具体时间将另行公告。</w:t>
      </w:r>
    </w:p>
    <w:p w:rsidR="002B7B85" w:rsidRDefault="00DD52D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（3）本公告解释权归海富通基金管理有限公司。如有疑问，投资者可拨打本公司的客户服务电话40088-40099或登录本公司网站（www.hftfund.com）咨询相关信息。</w:t>
      </w:r>
    </w:p>
    <w:p w:rsidR="002B7B85" w:rsidRDefault="00DD52D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2B7B85" w:rsidRDefault="002B7B85">
      <w:pPr>
        <w:spacing w:line="560" w:lineRule="exact"/>
        <w:ind w:firstLine="420"/>
        <w:rPr>
          <w:rFonts w:asciiTheme="minorEastAsia" w:eastAsiaTheme="minorEastAsia" w:hAnsiTheme="minorEastAsia"/>
          <w:sz w:val="24"/>
          <w:szCs w:val="24"/>
        </w:rPr>
      </w:pPr>
    </w:p>
    <w:p w:rsidR="002B7B85" w:rsidRDefault="002B7B85">
      <w:pPr>
        <w:spacing w:line="560" w:lineRule="exact"/>
        <w:ind w:firstLine="420"/>
        <w:rPr>
          <w:rFonts w:asciiTheme="minorEastAsia" w:eastAsiaTheme="minorEastAsia" w:hAnsiTheme="minorEastAsia"/>
          <w:sz w:val="24"/>
          <w:szCs w:val="24"/>
        </w:rPr>
      </w:pPr>
    </w:p>
    <w:p w:rsidR="002B7B85" w:rsidRDefault="002B7B85">
      <w:pPr>
        <w:spacing w:line="560" w:lineRule="exact"/>
        <w:ind w:firstLine="420"/>
        <w:rPr>
          <w:rFonts w:asciiTheme="minorEastAsia" w:eastAsiaTheme="minorEastAsia" w:hAnsiTheme="minorEastAsia"/>
          <w:sz w:val="24"/>
          <w:szCs w:val="24"/>
        </w:rPr>
      </w:pPr>
    </w:p>
    <w:p w:rsidR="002B7B85" w:rsidRDefault="00DD52DD">
      <w:pPr>
        <w:tabs>
          <w:tab w:val="left" w:pos="426"/>
        </w:tabs>
        <w:spacing w:before="29" w:line="288" w:lineRule="auto"/>
        <w:ind w:firstLineChars="200" w:firstLine="480"/>
        <w:jc w:val="right"/>
        <w:rPr>
          <w:kern w:val="0"/>
          <w:sz w:val="24"/>
        </w:rPr>
      </w:pPr>
      <w:r>
        <w:rPr>
          <w:kern w:val="0"/>
          <w:sz w:val="24"/>
        </w:rPr>
        <w:t>海富通基金管理有限公司</w:t>
      </w:r>
    </w:p>
    <w:p w:rsidR="002B7B85" w:rsidRDefault="00DD52DD" w:rsidP="00CC57D9">
      <w:pPr>
        <w:tabs>
          <w:tab w:val="left" w:pos="426"/>
        </w:tabs>
        <w:spacing w:before="29" w:line="288" w:lineRule="auto"/>
        <w:ind w:firstLineChars="200" w:firstLine="480"/>
        <w:jc w:val="right"/>
        <w:rPr>
          <w:rFonts w:asciiTheme="minorEastAsia" w:eastAsiaTheme="minorEastAsia" w:hAnsiTheme="minorEastAsia"/>
          <w:sz w:val="24"/>
          <w:szCs w:val="24"/>
        </w:rPr>
      </w:pPr>
      <w:r>
        <w:rPr>
          <w:kern w:val="0"/>
          <w:sz w:val="24"/>
        </w:rPr>
        <w:t>2021</w:t>
      </w:r>
      <w:r>
        <w:rPr>
          <w:kern w:val="0"/>
          <w:sz w:val="24"/>
        </w:rPr>
        <w:t>年</w:t>
      </w:r>
      <w:r>
        <w:rPr>
          <w:kern w:val="0"/>
          <w:sz w:val="24"/>
        </w:rPr>
        <w:t>1</w:t>
      </w:r>
      <w:r>
        <w:rPr>
          <w:kern w:val="0"/>
          <w:sz w:val="24"/>
        </w:rPr>
        <w:t>月</w:t>
      </w:r>
      <w:r>
        <w:rPr>
          <w:kern w:val="0"/>
          <w:sz w:val="24"/>
        </w:rPr>
        <w:t>8</w:t>
      </w:r>
      <w:r>
        <w:rPr>
          <w:kern w:val="0"/>
          <w:sz w:val="24"/>
        </w:rPr>
        <w:t>日</w:t>
      </w:r>
      <w:bookmarkStart w:id="2" w:name="_GoBack"/>
      <w:bookmarkEnd w:id="2"/>
    </w:p>
    <w:sectPr w:rsidR="002B7B85" w:rsidSect="006A33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0E" w:rsidRDefault="008F4E0E" w:rsidP="00F32386">
      <w:r>
        <w:separator/>
      </w:r>
    </w:p>
  </w:endnote>
  <w:endnote w:type="continuationSeparator" w:id="0">
    <w:p w:rsidR="008F4E0E" w:rsidRDefault="008F4E0E" w:rsidP="00F32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0E" w:rsidRDefault="008F4E0E" w:rsidP="00F32386">
      <w:r>
        <w:separator/>
      </w:r>
    </w:p>
  </w:footnote>
  <w:footnote w:type="continuationSeparator" w:id="0">
    <w:p w:rsidR="008F4E0E" w:rsidRDefault="008F4E0E" w:rsidP="00F32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138D7"/>
    <w:rsid w:val="00014582"/>
    <w:rsid w:val="00020378"/>
    <w:rsid w:val="00041353"/>
    <w:rsid w:val="000746EF"/>
    <w:rsid w:val="000E2B3D"/>
    <w:rsid w:val="000E4CBF"/>
    <w:rsid w:val="001161A4"/>
    <w:rsid w:val="001169BB"/>
    <w:rsid w:val="00180DA3"/>
    <w:rsid w:val="001A08AC"/>
    <w:rsid w:val="001A3CA1"/>
    <w:rsid w:val="001B4F9F"/>
    <w:rsid w:val="001E4CD3"/>
    <w:rsid w:val="002061D4"/>
    <w:rsid w:val="00207484"/>
    <w:rsid w:val="00245724"/>
    <w:rsid w:val="00265B63"/>
    <w:rsid w:val="0028798D"/>
    <w:rsid w:val="002935EF"/>
    <w:rsid w:val="00297148"/>
    <w:rsid w:val="002A1B33"/>
    <w:rsid w:val="002B7B85"/>
    <w:rsid w:val="002C360B"/>
    <w:rsid w:val="002E26DF"/>
    <w:rsid w:val="002F7241"/>
    <w:rsid w:val="00327DA7"/>
    <w:rsid w:val="00333329"/>
    <w:rsid w:val="0033513C"/>
    <w:rsid w:val="003612CB"/>
    <w:rsid w:val="0036784E"/>
    <w:rsid w:val="00370663"/>
    <w:rsid w:val="00386A1F"/>
    <w:rsid w:val="00392083"/>
    <w:rsid w:val="003D2DA1"/>
    <w:rsid w:val="00473087"/>
    <w:rsid w:val="0048692B"/>
    <w:rsid w:val="004966BA"/>
    <w:rsid w:val="004D6346"/>
    <w:rsid w:val="004E2421"/>
    <w:rsid w:val="004F0521"/>
    <w:rsid w:val="004F51E8"/>
    <w:rsid w:val="00540343"/>
    <w:rsid w:val="00564298"/>
    <w:rsid w:val="005F1AF0"/>
    <w:rsid w:val="00614995"/>
    <w:rsid w:val="00646522"/>
    <w:rsid w:val="006A3306"/>
    <w:rsid w:val="006F7FCA"/>
    <w:rsid w:val="00700895"/>
    <w:rsid w:val="00727899"/>
    <w:rsid w:val="00753DDE"/>
    <w:rsid w:val="00770DB7"/>
    <w:rsid w:val="007B1D31"/>
    <w:rsid w:val="007D0D12"/>
    <w:rsid w:val="008237B2"/>
    <w:rsid w:val="0082571C"/>
    <w:rsid w:val="00827D4A"/>
    <w:rsid w:val="0083445C"/>
    <w:rsid w:val="00841AFE"/>
    <w:rsid w:val="008472DB"/>
    <w:rsid w:val="00853A75"/>
    <w:rsid w:val="00875F57"/>
    <w:rsid w:val="008D3261"/>
    <w:rsid w:val="008F225D"/>
    <w:rsid w:val="008F4E0E"/>
    <w:rsid w:val="00932FF1"/>
    <w:rsid w:val="00936257"/>
    <w:rsid w:val="00956B0F"/>
    <w:rsid w:val="009A0B67"/>
    <w:rsid w:val="009B403A"/>
    <w:rsid w:val="009C5858"/>
    <w:rsid w:val="00A516C4"/>
    <w:rsid w:val="00AF68A9"/>
    <w:rsid w:val="00B101F7"/>
    <w:rsid w:val="00B13229"/>
    <w:rsid w:val="00B243AE"/>
    <w:rsid w:val="00B40A5A"/>
    <w:rsid w:val="00B5053A"/>
    <w:rsid w:val="00BA6967"/>
    <w:rsid w:val="00BD601B"/>
    <w:rsid w:val="00BD6D93"/>
    <w:rsid w:val="00BE78C1"/>
    <w:rsid w:val="00C50193"/>
    <w:rsid w:val="00CC57D9"/>
    <w:rsid w:val="00D100C9"/>
    <w:rsid w:val="00D114B7"/>
    <w:rsid w:val="00D327FA"/>
    <w:rsid w:val="00D33E60"/>
    <w:rsid w:val="00D64175"/>
    <w:rsid w:val="00D82740"/>
    <w:rsid w:val="00D906EB"/>
    <w:rsid w:val="00DB2A18"/>
    <w:rsid w:val="00DD52DD"/>
    <w:rsid w:val="00DE5E75"/>
    <w:rsid w:val="00DE678B"/>
    <w:rsid w:val="00E31264"/>
    <w:rsid w:val="00E72255"/>
    <w:rsid w:val="00E72AFA"/>
    <w:rsid w:val="00E77D74"/>
    <w:rsid w:val="00ED0C20"/>
    <w:rsid w:val="00EE1823"/>
    <w:rsid w:val="00F14414"/>
    <w:rsid w:val="00F32386"/>
    <w:rsid w:val="00F5252D"/>
    <w:rsid w:val="00F64447"/>
    <w:rsid w:val="00F706B3"/>
    <w:rsid w:val="00F875F9"/>
    <w:rsid w:val="00F95610"/>
    <w:rsid w:val="00FD7428"/>
    <w:rsid w:val="5E45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06"/>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rsid w:val="006A330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6A330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A3306"/>
    <w:rPr>
      <w:sz w:val="18"/>
      <w:szCs w:val="18"/>
    </w:rPr>
  </w:style>
  <w:style w:type="paragraph" w:styleId="a4">
    <w:name w:val="footer"/>
    <w:basedOn w:val="a"/>
    <w:link w:val="Char0"/>
    <w:uiPriority w:val="99"/>
    <w:unhideWhenUsed/>
    <w:rsid w:val="006A3306"/>
    <w:pPr>
      <w:tabs>
        <w:tab w:val="center" w:pos="4153"/>
        <w:tab w:val="right" w:pos="8306"/>
      </w:tabs>
      <w:snapToGrid w:val="0"/>
      <w:jc w:val="left"/>
    </w:pPr>
    <w:rPr>
      <w:sz w:val="18"/>
      <w:szCs w:val="18"/>
    </w:rPr>
  </w:style>
  <w:style w:type="paragraph" w:styleId="a5">
    <w:name w:val="header"/>
    <w:basedOn w:val="a"/>
    <w:link w:val="Char1"/>
    <w:uiPriority w:val="99"/>
    <w:unhideWhenUsed/>
    <w:rsid w:val="006A3306"/>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rsid w:val="006A3306"/>
    <w:pPr>
      <w:snapToGrid w:val="0"/>
      <w:jc w:val="left"/>
    </w:pPr>
    <w:rPr>
      <w:rFonts w:eastAsia="宋体"/>
      <w:sz w:val="18"/>
    </w:rPr>
  </w:style>
  <w:style w:type="character" w:styleId="a7">
    <w:name w:val="footnote reference"/>
    <w:basedOn w:val="a0"/>
    <w:rsid w:val="006A3306"/>
    <w:rPr>
      <w:vertAlign w:val="superscript"/>
    </w:rPr>
  </w:style>
  <w:style w:type="character" w:customStyle="1" w:styleId="1Char">
    <w:name w:val="标题 1 Char"/>
    <w:basedOn w:val="a0"/>
    <w:link w:val="1"/>
    <w:rsid w:val="006A3306"/>
    <w:rPr>
      <w:rFonts w:ascii="Times New Roman" w:eastAsia="宋体" w:hAnsi="Times New Roman" w:cs="Times New Roman"/>
      <w:b/>
      <w:bCs/>
      <w:kern w:val="44"/>
      <w:sz w:val="44"/>
      <w:szCs w:val="44"/>
    </w:rPr>
  </w:style>
  <w:style w:type="character" w:customStyle="1" w:styleId="2Char">
    <w:name w:val="标题 2 Char"/>
    <w:basedOn w:val="a0"/>
    <w:link w:val="2"/>
    <w:qFormat/>
    <w:rsid w:val="006A3306"/>
    <w:rPr>
      <w:rFonts w:ascii="Arial" w:eastAsia="黑体" w:hAnsi="Arial" w:cs="Times New Roman"/>
      <w:b/>
      <w:bCs/>
      <w:sz w:val="32"/>
      <w:szCs w:val="32"/>
    </w:rPr>
  </w:style>
  <w:style w:type="character" w:customStyle="1" w:styleId="Char2">
    <w:name w:val="脚注文本 Char"/>
    <w:basedOn w:val="a0"/>
    <w:link w:val="a6"/>
    <w:rsid w:val="006A3306"/>
    <w:rPr>
      <w:rFonts w:ascii="Times New Roman" w:eastAsia="宋体" w:hAnsi="Times New Roman" w:cs="Times New Roman"/>
      <w:sz w:val="18"/>
      <w:szCs w:val="20"/>
    </w:rPr>
  </w:style>
  <w:style w:type="character" w:customStyle="1" w:styleId="Char">
    <w:name w:val="批注框文本 Char"/>
    <w:basedOn w:val="a0"/>
    <w:link w:val="a3"/>
    <w:uiPriority w:val="99"/>
    <w:semiHidden/>
    <w:rsid w:val="006A3306"/>
    <w:rPr>
      <w:rFonts w:ascii="Times New Roman" w:eastAsia="方正仿宋简体" w:hAnsi="Times New Roman" w:cs="Times New Roman"/>
      <w:sz w:val="18"/>
      <w:szCs w:val="18"/>
    </w:rPr>
  </w:style>
  <w:style w:type="character" w:customStyle="1" w:styleId="Char1">
    <w:name w:val="页眉 Char"/>
    <w:basedOn w:val="a0"/>
    <w:link w:val="a5"/>
    <w:uiPriority w:val="99"/>
    <w:rsid w:val="006A3306"/>
    <w:rPr>
      <w:rFonts w:ascii="Times New Roman" w:eastAsia="方正仿宋简体" w:hAnsi="Times New Roman" w:cs="Times New Roman"/>
      <w:sz w:val="18"/>
      <w:szCs w:val="18"/>
    </w:rPr>
  </w:style>
  <w:style w:type="character" w:customStyle="1" w:styleId="Char0">
    <w:name w:val="页脚 Char"/>
    <w:basedOn w:val="a0"/>
    <w:link w:val="a4"/>
    <w:uiPriority w:val="99"/>
    <w:rsid w:val="006A3306"/>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lsdException w:name="footer" w:semiHidden="0"/>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方正仿宋简体" w:hAnsi="Times New Roman" w:cs="Times New Roman"/>
      <w:kern w:val="2"/>
      <w:sz w:val="32"/>
    </w:rPr>
  </w:style>
  <w:style w:type="paragraph" w:styleId="1">
    <w:name w:val="heading 1"/>
    <w:basedOn w:val="a"/>
    <w:next w:val="a"/>
    <w:link w:val="1Char"/>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qFormat/>
    <w:pPr>
      <w:snapToGrid w:val="0"/>
      <w:jc w:val="left"/>
    </w:pPr>
    <w:rPr>
      <w:rFonts w:eastAsia="宋体"/>
      <w:sz w:val="18"/>
    </w:rPr>
  </w:style>
  <w:style w:type="character" w:styleId="a7">
    <w:name w:val="footnote reference"/>
    <w:basedOn w:val="a0"/>
    <w:rPr>
      <w:vertAlign w:val="superscript"/>
    </w:rPr>
  </w:style>
  <w:style w:type="character" w:customStyle="1" w:styleId="1Char">
    <w:name w:val="标题 1 Char"/>
    <w:basedOn w:val="a0"/>
    <w:link w:val="1"/>
    <w:rPr>
      <w:rFonts w:ascii="Times New Roman" w:eastAsia="宋体" w:hAnsi="Times New Roman" w:cs="Times New Roman"/>
      <w:b/>
      <w:bCs/>
      <w:kern w:val="44"/>
      <w:sz w:val="44"/>
      <w:szCs w:val="44"/>
    </w:rPr>
  </w:style>
  <w:style w:type="character" w:customStyle="1" w:styleId="2Char">
    <w:name w:val="标题 2 Char"/>
    <w:basedOn w:val="a0"/>
    <w:link w:val="2"/>
    <w:qFormat/>
    <w:rPr>
      <w:rFonts w:ascii="Arial" w:eastAsia="黑体" w:hAnsi="Arial" w:cs="Times New Roman"/>
      <w:b/>
      <w:bCs/>
      <w:sz w:val="32"/>
      <w:szCs w:val="32"/>
    </w:rPr>
  </w:style>
  <w:style w:type="character" w:customStyle="1" w:styleId="Char2">
    <w:name w:val="脚注文本 Char"/>
    <w:basedOn w:val="a0"/>
    <w:link w:val="a6"/>
    <w:rPr>
      <w:rFonts w:ascii="Times New Roman" w:eastAsia="宋体" w:hAnsi="Times New Roman" w:cs="Times New Roman"/>
      <w:sz w:val="18"/>
      <w:szCs w:val="20"/>
    </w:rPr>
  </w:style>
  <w:style w:type="character" w:customStyle="1" w:styleId="Char">
    <w:name w:val="批注框文本 Char"/>
    <w:basedOn w:val="a0"/>
    <w:link w:val="a3"/>
    <w:uiPriority w:val="99"/>
    <w:semiHidden/>
    <w:rPr>
      <w:rFonts w:ascii="Times New Roman" w:eastAsia="方正仿宋简体" w:hAnsi="Times New Roman" w:cs="Times New Roman"/>
      <w:sz w:val="18"/>
      <w:szCs w:val="18"/>
    </w:rPr>
  </w:style>
  <w:style w:type="character" w:customStyle="1" w:styleId="Char1">
    <w:name w:val="页眉 Char"/>
    <w:basedOn w:val="a0"/>
    <w:link w:val="a5"/>
    <w:uiPriority w:val="99"/>
    <w:rPr>
      <w:rFonts w:ascii="Times New Roman" w:eastAsia="方正仿宋简体" w:hAnsi="Times New Roman" w:cs="Times New Roman"/>
      <w:sz w:val="18"/>
      <w:szCs w:val="18"/>
    </w:rPr>
  </w:style>
  <w:style w:type="character" w:customStyle="1" w:styleId="Char0">
    <w:name w:val="页脚 Char"/>
    <w:basedOn w:val="a0"/>
    <w:link w:val="a4"/>
    <w:uiPriority w:val="99"/>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4</DocSecurity>
  <Lines>6</Lines>
  <Paragraphs>1</Paragraphs>
  <ScaleCrop>false</ScaleCrop>
  <Company>微软中国</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2021-01-07T16:17:00Z</dcterms:created>
  <dcterms:modified xsi:type="dcterms:W3CDTF">2021-01-07T16:17:00Z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