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95" w:rsidRPr="005D31DE" w:rsidRDefault="003A5E95" w:rsidP="003A5E95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5D31DE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国泰基金管理有限公司关于旗下基金获配非公开发行</w:t>
      </w:r>
      <w:r w:rsidRPr="005D31DE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A</w:t>
      </w:r>
      <w:r w:rsidRPr="005D31DE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股的公告</w:t>
      </w:r>
    </w:p>
    <w:p w:rsidR="003A5E95" w:rsidRPr="005D31DE" w:rsidRDefault="003A5E95" w:rsidP="003A5E95">
      <w:pPr>
        <w:autoSpaceDE w:val="0"/>
        <w:autoSpaceDN w:val="0"/>
        <w:adjustRightInd w:val="0"/>
        <w:spacing w:line="360" w:lineRule="auto"/>
        <w:ind w:firstLineChars="177" w:firstLine="37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国泰基</w:t>
      </w:r>
      <w:r w:rsidR="001A4DD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金管理有限公司（以下简称本公司）所管理的</w:t>
      </w:r>
      <w:r w:rsidR="00932317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部分</w:t>
      </w:r>
      <w:r w:rsidR="0086536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基金</w:t>
      </w:r>
      <w:r w:rsidR="002937B7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参加了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江苏新泉汽车饰件</w:t>
      </w:r>
      <w:r w:rsidR="001F1DAF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股份有限公司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新泉股份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（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603179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和上海至纯洁净系统科技股份有限公司至纯科技（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603690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股的认购。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江苏新泉汽车饰件</w:t>
      </w:r>
      <w:r w:rsidR="001F1DAF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股份有限公司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和上海至纯洁净系统科技股份有限公司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已于</w:t>
      </w:r>
      <w:r w:rsidR="005D03AD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7732A4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日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分别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发布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了</w:t>
      </w:r>
      <w:r w:rsidR="0046011A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《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江苏新泉汽车饰件</w:t>
      </w:r>
      <w:r w:rsidR="0046011A" w:rsidRPr="005D31DE">
        <w:rPr>
          <w:rFonts w:ascii="Times New Roman" w:eastAsia="宋体" w:hAnsi="Times New Roman" w:cs="Times New Roman"/>
          <w:color w:val="000000"/>
          <w:szCs w:val="21"/>
        </w:rPr>
        <w:t>股份有限公司</w:t>
      </w:r>
      <w:r w:rsidR="003030D6" w:rsidRPr="005D31DE">
        <w:rPr>
          <w:rFonts w:ascii="Times New Roman" w:eastAsia="宋体" w:hAnsi="Times New Roman" w:cs="Times New Roman"/>
          <w:color w:val="000000"/>
          <w:szCs w:val="21"/>
        </w:rPr>
        <w:t>非公开发行股票</w:t>
      </w:r>
      <w:r w:rsidR="009D2E6A" w:rsidRPr="005D31DE">
        <w:rPr>
          <w:rFonts w:ascii="Times New Roman" w:eastAsia="宋体" w:hAnsi="Times New Roman" w:cs="Times New Roman"/>
          <w:color w:val="000000"/>
          <w:szCs w:val="21"/>
        </w:rPr>
        <w:t>发行</w:t>
      </w:r>
      <w:r w:rsidR="003030D6" w:rsidRPr="005D31DE">
        <w:rPr>
          <w:rFonts w:ascii="Times New Roman" w:eastAsia="宋体" w:hAnsi="Times New Roman" w:cs="Times New Roman"/>
          <w:color w:val="000000"/>
          <w:szCs w:val="21"/>
        </w:rPr>
        <w:t>情况</w:t>
      </w:r>
      <w:r w:rsidR="00501BE6" w:rsidRPr="005D31DE">
        <w:rPr>
          <w:rFonts w:ascii="Times New Roman" w:eastAsia="宋体" w:hAnsi="Times New Roman" w:cs="Times New Roman"/>
          <w:color w:val="000000"/>
          <w:szCs w:val="21"/>
        </w:rPr>
        <w:t>报告</w:t>
      </w:r>
      <w:r w:rsidR="008A483B" w:rsidRPr="005D31DE">
        <w:rPr>
          <w:rFonts w:ascii="Times New Roman" w:eastAsia="宋体" w:hAnsi="Times New Roman" w:cs="Times New Roman"/>
          <w:color w:val="000000"/>
          <w:szCs w:val="21"/>
        </w:rPr>
        <w:t>书</w:t>
      </w:r>
      <w:r w:rsidR="0046011A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》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、《上海至纯洁净系统科技</w:t>
      </w:r>
      <w:r w:rsidR="005D31DE" w:rsidRPr="005D31DE">
        <w:rPr>
          <w:rFonts w:ascii="Times New Roman" w:eastAsia="宋体" w:hAnsi="Times New Roman" w:cs="Times New Roman"/>
          <w:color w:val="000000"/>
          <w:szCs w:val="21"/>
        </w:rPr>
        <w:t>股份有限公司非公开发行股票发行情况报告书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》，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公布了非公开发行结果。</w:t>
      </w:r>
    </w:p>
    <w:p w:rsidR="003A5E95" w:rsidRPr="005D31DE" w:rsidRDefault="003A5E95" w:rsidP="003A5E95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根据中国证监会《</w:t>
      </w:r>
      <w:r w:rsidR="00F617AA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公开募集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证券投资基金信息披露管理办法》、《关于基金投资非公开发行股票等流通受限证券有关问题的通知》等有关规定，本公司现将旗下证券投资基金获配</w:t>
      </w:r>
      <w:r w:rsidR="005D31D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上述两只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非公开发行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股情况披露如下：</w:t>
      </w:r>
    </w:p>
    <w:p w:rsidR="005D31DE" w:rsidRPr="005D31DE" w:rsidRDefault="005D31DE" w:rsidP="003A5E95">
      <w:pPr>
        <w:autoSpaceDE w:val="0"/>
        <w:autoSpaceDN w:val="0"/>
        <w:adjustRightInd w:val="0"/>
        <w:spacing w:line="360" w:lineRule="auto"/>
        <w:ind w:firstLineChars="177" w:firstLine="372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一、新泉股份：</w:t>
      </w:r>
    </w:p>
    <w:tbl>
      <w:tblPr>
        <w:tblStyle w:val="a6"/>
        <w:tblW w:w="9351" w:type="dxa"/>
        <w:jc w:val="center"/>
        <w:tblLook w:val="04A0"/>
      </w:tblPr>
      <w:tblGrid>
        <w:gridCol w:w="1924"/>
        <w:gridCol w:w="1319"/>
        <w:gridCol w:w="1424"/>
        <w:gridCol w:w="1134"/>
        <w:gridCol w:w="1424"/>
        <w:gridCol w:w="1275"/>
        <w:gridCol w:w="851"/>
      </w:tblGrid>
      <w:tr w:rsidR="006954F4" w:rsidRPr="005D31DE" w:rsidTr="006954F4">
        <w:trPr>
          <w:trHeight w:val="720"/>
          <w:jc w:val="center"/>
        </w:trPr>
        <w:tc>
          <w:tcPr>
            <w:tcW w:w="1924" w:type="dxa"/>
            <w:vMerge w:val="restart"/>
            <w:vAlign w:val="center"/>
            <w:hideMark/>
          </w:tcPr>
          <w:p w:rsidR="00357577" w:rsidRPr="005D31DE" w:rsidRDefault="00357577" w:rsidP="00CD74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319" w:type="dxa"/>
            <w:vMerge w:val="restart"/>
            <w:vAlign w:val="center"/>
            <w:hideMark/>
          </w:tcPr>
          <w:p w:rsidR="00357577" w:rsidRPr="005D31DE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357577" w:rsidRPr="005D31DE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57577" w:rsidRPr="005D31DE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357577" w:rsidRPr="005D31DE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57577" w:rsidRPr="005D31DE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57577" w:rsidRPr="005D31DE" w:rsidRDefault="00357577" w:rsidP="00357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锁定期</w:t>
            </w:r>
          </w:p>
        </w:tc>
      </w:tr>
      <w:tr w:rsidR="006954F4" w:rsidRPr="005D31DE" w:rsidTr="006954F4">
        <w:trPr>
          <w:trHeight w:val="312"/>
          <w:jc w:val="center"/>
        </w:trPr>
        <w:tc>
          <w:tcPr>
            <w:tcW w:w="1924" w:type="dxa"/>
            <w:vMerge/>
            <w:vAlign w:val="center"/>
            <w:hideMark/>
          </w:tcPr>
          <w:p w:rsidR="00357577" w:rsidRPr="005D31DE" w:rsidRDefault="00357577" w:rsidP="003F3D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357577" w:rsidRPr="005D31DE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357577" w:rsidRPr="005D31DE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7577" w:rsidRPr="005D31DE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357577" w:rsidRPr="005D31DE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7577" w:rsidRPr="005D31DE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7577" w:rsidRPr="005D31DE" w:rsidRDefault="00357577" w:rsidP="003575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54F4" w:rsidRPr="005D31DE" w:rsidTr="002C1C28">
        <w:trPr>
          <w:trHeight w:val="70"/>
          <w:jc w:val="center"/>
        </w:trPr>
        <w:tc>
          <w:tcPr>
            <w:tcW w:w="1924" w:type="dxa"/>
            <w:vAlign w:val="center"/>
          </w:tcPr>
          <w:p w:rsidR="0040513E" w:rsidRPr="005D31DE" w:rsidRDefault="0040513E" w:rsidP="004051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国泰研究精选两年持有期混合型证券投资基金</w:t>
            </w:r>
          </w:p>
        </w:tc>
        <w:tc>
          <w:tcPr>
            <w:tcW w:w="1319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830,910.00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20,000,003.70</w:t>
            </w:r>
          </w:p>
        </w:tc>
        <w:tc>
          <w:tcPr>
            <w:tcW w:w="113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1.62%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29,056,922.70</w:t>
            </w:r>
          </w:p>
        </w:tc>
        <w:tc>
          <w:tcPr>
            <w:tcW w:w="1275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2.35%</w:t>
            </w:r>
          </w:p>
        </w:tc>
        <w:tc>
          <w:tcPr>
            <w:tcW w:w="851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  <w:tr w:rsidR="006954F4" w:rsidRPr="005D31DE" w:rsidTr="002C1C28">
        <w:trPr>
          <w:trHeight w:val="70"/>
          <w:jc w:val="center"/>
        </w:trPr>
        <w:tc>
          <w:tcPr>
            <w:tcW w:w="1924" w:type="dxa"/>
            <w:vAlign w:val="center"/>
          </w:tcPr>
          <w:p w:rsidR="0040513E" w:rsidRPr="005D31DE" w:rsidRDefault="0040513E" w:rsidP="004051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国泰金鹰增长灵活配置混合型证券投资基金</w:t>
            </w:r>
          </w:p>
        </w:tc>
        <w:tc>
          <w:tcPr>
            <w:tcW w:w="1319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1,246,365.00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30,000,005.55</w:t>
            </w:r>
          </w:p>
        </w:tc>
        <w:tc>
          <w:tcPr>
            <w:tcW w:w="113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1.61%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43,585,384.05</w:t>
            </w:r>
          </w:p>
        </w:tc>
        <w:tc>
          <w:tcPr>
            <w:tcW w:w="1275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2.34%</w:t>
            </w:r>
          </w:p>
        </w:tc>
        <w:tc>
          <w:tcPr>
            <w:tcW w:w="851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  <w:tr w:rsidR="006954F4" w:rsidRPr="005D31DE" w:rsidTr="006954F4">
        <w:trPr>
          <w:trHeight w:val="690"/>
          <w:jc w:val="center"/>
        </w:trPr>
        <w:tc>
          <w:tcPr>
            <w:tcW w:w="1924" w:type="dxa"/>
            <w:vAlign w:val="center"/>
          </w:tcPr>
          <w:p w:rsidR="0040513E" w:rsidRPr="005D31DE" w:rsidRDefault="0040513E" w:rsidP="004051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国泰研究优势混合型证券投资基金</w:t>
            </w:r>
          </w:p>
        </w:tc>
        <w:tc>
          <w:tcPr>
            <w:tcW w:w="1319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1,246,365.00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30,000,005.55</w:t>
            </w:r>
          </w:p>
        </w:tc>
        <w:tc>
          <w:tcPr>
            <w:tcW w:w="113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2.07%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43,585,384.05</w:t>
            </w:r>
          </w:p>
        </w:tc>
        <w:tc>
          <w:tcPr>
            <w:tcW w:w="1275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3.01%</w:t>
            </w:r>
          </w:p>
        </w:tc>
        <w:tc>
          <w:tcPr>
            <w:tcW w:w="851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  <w:tr w:rsidR="006954F4" w:rsidRPr="005D31DE" w:rsidTr="002C1C28">
        <w:trPr>
          <w:trHeight w:val="111"/>
          <w:jc w:val="center"/>
        </w:trPr>
        <w:tc>
          <w:tcPr>
            <w:tcW w:w="1924" w:type="dxa"/>
            <w:vAlign w:val="center"/>
          </w:tcPr>
          <w:p w:rsidR="0040513E" w:rsidRPr="005D31DE" w:rsidRDefault="0040513E" w:rsidP="004051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国泰金泰灵活配置混合型证券投资基金</w:t>
            </w:r>
          </w:p>
        </w:tc>
        <w:tc>
          <w:tcPr>
            <w:tcW w:w="1319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207,727.00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4,999,988.89</w:t>
            </w:r>
          </w:p>
        </w:tc>
        <w:tc>
          <w:tcPr>
            <w:tcW w:w="113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0.95%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7,264,213.19</w:t>
            </w:r>
          </w:p>
        </w:tc>
        <w:tc>
          <w:tcPr>
            <w:tcW w:w="1275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1.38%</w:t>
            </w:r>
          </w:p>
        </w:tc>
        <w:tc>
          <w:tcPr>
            <w:tcW w:w="851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  <w:tr w:rsidR="006954F4" w:rsidRPr="005D31DE" w:rsidTr="006954F4">
        <w:trPr>
          <w:trHeight w:val="690"/>
          <w:jc w:val="center"/>
        </w:trPr>
        <w:tc>
          <w:tcPr>
            <w:tcW w:w="1924" w:type="dxa"/>
            <w:vAlign w:val="center"/>
          </w:tcPr>
          <w:p w:rsidR="0040513E" w:rsidRPr="005D31DE" w:rsidRDefault="0040513E" w:rsidP="0040513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国泰智能装备股票型证券投资基金</w:t>
            </w:r>
          </w:p>
        </w:tc>
        <w:tc>
          <w:tcPr>
            <w:tcW w:w="1319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1,246,365.00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30,000,005.55</w:t>
            </w:r>
          </w:p>
        </w:tc>
        <w:tc>
          <w:tcPr>
            <w:tcW w:w="113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1.59%</w:t>
            </w:r>
          </w:p>
        </w:tc>
        <w:tc>
          <w:tcPr>
            <w:tcW w:w="1424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43,585,384.05</w:t>
            </w:r>
          </w:p>
        </w:tc>
        <w:tc>
          <w:tcPr>
            <w:tcW w:w="1275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2.30%</w:t>
            </w:r>
          </w:p>
        </w:tc>
        <w:tc>
          <w:tcPr>
            <w:tcW w:w="851" w:type="dxa"/>
            <w:noWrap/>
            <w:vAlign w:val="center"/>
          </w:tcPr>
          <w:p w:rsidR="0040513E" w:rsidRPr="005D31DE" w:rsidRDefault="0040513E" w:rsidP="004051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</w:tbl>
    <w:p w:rsidR="006954F4" w:rsidRDefault="006954F4" w:rsidP="003A5E9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注：基金资产净值、账面价值为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2021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日数据。</w:t>
      </w:r>
    </w:p>
    <w:p w:rsidR="005D31DE" w:rsidRPr="005D31DE" w:rsidRDefault="005D31DE" w:rsidP="003A5E9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二、至纯科技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</w:t>
      </w:r>
    </w:p>
    <w:tbl>
      <w:tblPr>
        <w:tblStyle w:val="a6"/>
        <w:tblW w:w="9356" w:type="dxa"/>
        <w:jc w:val="center"/>
        <w:tblLook w:val="04A0"/>
      </w:tblPr>
      <w:tblGrid>
        <w:gridCol w:w="1913"/>
        <w:gridCol w:w="1335"/>
        <w:gridCol w:w="1424"/>
        <w:gridCol w:w="1134"/>
        <w:gridCol w:w="1424"/>
        <w:gridCol w:w="1276"/>
        <w:gridCol w:w="850"/>
      </w:tblGrid>
      <w:tr w:rsidR="005D31DE" w:rsidRPr="005D31DE" w:rsidTr="006954F4">
        <w:trPr>
          <w:trHeight w:val="720"/>
          <w:jc w:val="center"/>
        </w:trPr>
        <w:tc>
          <w:tcPr>
            <w:tcW w:w="1913" w:type="dxa"/>
            <w:vMerge w:val="restart"/>
            <w:vAlign w:val="center"/>
            <w:hideMark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24" w:type="dxa"/>
            <w:vMerge w:val="restart"/>
            <w:vAlign w:val="center"/>
            <w:hideMark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锁定期</w:t>
            </w:r>
          </w:p>
        </w:tc>
      </w:tr>
      <w:tr w:rsidR="005D31DE" w:rsidRPr="005D31DE" w:rsidTr="006954F4">
        <w:trPr>
          <w:trHeight w:val="312"/>
          <w:jc w:val="center"/>
        </w:trPr>
        <w:tc>
          <w:tcPr>
            <w:tcW w:w="1913" w:type="dxa"/>
            <w:vMerge/>
            <w:vAlign w:val="center"/>
            <w:hideMark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D31DE" w:rsidRPr="005D31DE" w:rsidTr="006954F4">
        <w:trPr>
          <w:trHeight w:val="638"/>
          <w:jc w:val="center"/>
        </w:trPr>
        <w:tc>
          <w:tcPr>
            <w:tcW w:w="1913" w:type="dxa"/>
            <w:vAlign w:val="center"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国泰鑫睿混合型证券投资基金</w:t>
            </w:r>
          </w:p>
        </w:tc>
        <w:tc>
          <w:tcPr>
            <w:tcW w:w="1335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347,343.00</w:t>
            </w:r>
          </w:p>
        </w:tc>
        <w:tc>
          <w:tcPr>
            <w:tcW w:w="142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10,000,004.97</w:t>
            </w:r>
          </w:p>
        </w:tc>
        <w:tc>
          <w:tcPr>
            <w:tcW w:w="113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0.57%</w:t>
            </w:r>
          </w:p>
        </w:tc>
        <w:tc>
          <w:tcPr>
            <w:tcW w:w="142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12,254,261.04</w:t>
            </w:r>
          </w:p>
        </w:tc>
        <w:tc>
          <w:tcPr>
            <w:tcW w:w="1276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0.69%</w:t>
            </w:r>
          </w:p>
        </w:tc>
        <w:tc>
          <w:tcPr>
            <w:tcW w:w="850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  <w:tr w:rsidR="005D31DE" w:rsidRPr="005D31DE" w:rsidTr="002C1C28">
        <w:trPr>
          <w:trHeight w:val="70"/>
          <w:jc w:val="center"/>
        </w:trPr>
        <w:tc>
          <w:tcPr>
            <w:tcW w:w="1913" w:type="dxa"/>
            <w:vAlign w:val="center"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国泰聚信价值优势灵活配置混合型证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券投资基金</w:t>
            </w:r>
          </w:p>
        </w:tc>
        <w:tc>
          <w:tcPr>
            <w:tcW w:w="1335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868,357.00</w:t>
            </w:r>
          </w:p>
        </w:tc>
        <w:tc>
          <w:tcPr>
            <w:tcW w:w="142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24,999,998.03</w:t>
            </w:r>
          </w:p>
        </w:tc>
        <w:tc>
          <w:tcPr>
            <w:tcW w:w="113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0.32%</w:t>
            </w:r>
          </w:p>
        </w:tc>
        <w:tc>
          <w:tcPr>
            <w:tcW w:w="142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30,635,634.96</w:t>
            </w:r>
          </w:p>
        </w:tc>
        <w:tc>
          <w:tcPr>
            <w:tcW w:w="1276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0.39%</w:t>
            </w:r>
          </w:p>
        </w:tc>
        <w:tc>
          <w:tcPr>
            <w:tcW w:w="850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  <w:tr w:rsidR="005D31DE" w:rsidRPr="005D31DE" w:rsidTr="002C1C28">
        <w:trPr>
          <w:trHeight w:val="70"/>
          <w:jc w:val="center"/>
        </w:trPr>
        <w:tc>
          <w:tcPr>
            <w:tcW w:w="1913" w:type="dxa"/>
            <w:vAlign w:val="center"/>
          </w:tcPr>
          <w:p w:rsidR="005D31DE" w:rsidRPr="005D31DE" w:rsidRDefault="005D31DE" w:rsidP="004901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国泰金鹏蓝筹价值混合型证券投资基金</w:t>
            </w:r>
          </w:p>
        </w:tc>
        <w:tc>
          <w:tcPr>
            <w:tcW w:w="1335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34,735.00</w:t>
            </w:r>
          </w:p>
        </w:tc>
        <w:tc>
          <w:tcPr>
            <w:tcW w:w="142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1,000,020.65</w:t>
            </w:r>
          </w:p>
        </w:tc>
        <w:tc>
          <w:tcPr>
            <w:tcW w:w="113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0.15%</w:t>
            </w:r>
          </w:p>
        </w:tc>
        <w:tc>
          <w:tcPr>
            <w:tcW w:w="1424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1,225,450.80</w:t>
            </w:r>
          </w:p>
        </w:tc>
        <w:tc>
          <w:tcPr>
            <w:tcW w:w="1276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0.18%</w:t>
            </w:r>
          </w:p>
        </w:tc>
        <w:tc>
          <w:tcPr>
            <w:tcW w:w="850" w:type="dxa"/>
            <w:noWrap/>
            <w:vAlign w:val="center"/>
          </w:tcPr>
          <w:p w:rsidR="005D31DE" w:rsidRPr="005D31DE" w:rsidRDefault="005D31DE" w:rsidP="0049012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5D31DE">
              <w:rPr>
                <w:rFonts w:ascii="Times New Roman" w:eastAsia="宋体" w:hAnsi="Times New Roman" w:cs="Times New Roman"/>
                <w:color w:val="000000"/>
                <w:szCs w:val="21"/>
              </w:rPr>
              <w:t>个月</w:t>
            </w:r>
          </w:p>
        </w:tc>
      </w:tr>
    </w:tbl>
    <w:p w:rsidR="003A5E95" w:rsidRPr="005D31DE" w:rsidRDefault="006954F4" w:rsidP="003A5E9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注：基金资产净值、账面价值为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2021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6</w:t>
      </w: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日数据。</w:t>
      </w:r>
    </w:p>
    <w:p w:rsidR="0050445B" w:rsidRPr="005D31DE" w:rsidRDefault="0050445B" w:rsidP="003A5E9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A5E95" w:rsidRPr="005D31DE" w:rsidRDefault="0050445B" w:rsidP="003A5E95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投资者可登录本公司网站</w:t>
      </w:r>
      <w:r w:rsidR="003A5E95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www.gtfund.com</w:t>
      </w:r>
      <w:r w:rsidR="003A5E95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，或拨打客户服务电话</w:t>
      </w:r>
      <w:r w:rsidR="003A5E95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400-888-8688</w:t>
      </w:r>
      <w:r w:rsidR="003A5E95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咨询相关信息。</w:t>
      </w:r>
    </w:p>
    <w:p w:rsidR="003A5E95" w:rsidRPr="005D31DE" w:rsidRDefault="003A5E95" w:rsidP="003A5E95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特此公告。</w:t>
      </w:r>
      <w:bookmarkStart w:id="0" w:name="_GoBack"/>
      <w:bookmarkEnd w:id="0"/>
    </w:p>
    <w:p w:rsidR="003A5E95" w:rsidRPr="005D31DE" w:rsidRDefault="003A5E95" w:rsidP="003A5E9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A5E95" w:rsidRPr="005D31DE" w:rsidRDefault="003A5E95" w:rsidP="003A5E95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国泰基金管理有限公司</w:t>
      </w:r>
    </w:p>
    <w:p w:rsidR="00393E8A" w:rsidRPr="005D31DE" w:rsidRDefault="00F05301" w:rsidP="0050445B">
      <w:pPr>
        <w:autoSpaceDE w:val="0"/>
        <w:autoSpaceDN w:val="0"/>
        <w:adjustRightInd w:val="0"/>
        <w:spacing w:line="360" w:lineRule="auto"/>
        <w:ind w:firstLineChars="1800" w:firstLine="3780"/>
        <w:jc w:val="right"/>
        <w:rPr>
          <w:rFonts w:ascii="Times New Roman" w:eastAsia="宋体" w:hAnsi="Times New Roman" w:cs="Times New Roman"/>
          <w:szCs w:val="21"/>
        </w:rPr>
      </w:pPr>
      <w:r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202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3A5E95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="003C6E6E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3A5E95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="00501BE6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="003A5E95" w:rsidRPr="005D31DE">
        <w:rPr>
          <w:rFonts w:ascii="Times New Roman" w:eastAsia="宋体" w:hAnsi="Times New Roman" w:cs="Times New Roman"/>
          <w:color w:val="000000"/>
          <w:kern w:val="0"/>
          <w:szCs w:val="21"/>
        </w:rPr>
        <w:t>日</w:t>
      </w:r>
    </w:p>
    <w:sectPr w:rsidR="00393E8A" w:rsidRPr="005D31DE" w:rsidSect="00DB429F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0F" w:rsidRDefault="0023190F" w:rsidP="00D13B01">
      <w:r>
        <w:separator/>
      </w:r>
    </w:p>
  </w:endnote>
  <w:endnote w:type="continuationSeparator" w:id="0">
    <w:p w:rsidR="0023190F" w:rsidRDefault="0023190F" w:rsidP="00D1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0F" w:rsidRDefault="0023190F" w:rsidP="00D13B01">
      <w:r>
        <w:separator/>
      </w:r>
    </w:p>
  </w:footnote>
  <w:footnote w:type="continuationSeparator" w:id="0">
    <w:p w:rsidR="0023190F" w:rsidRDefault="0023190F" w:rsidP="00D13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7A7"/>
    <w:rsid w:val="00001E53"/>
    <w:rsid w:val="00003148"/>
    <w:rsid w:val="00007054"/>
    <w:rsid w:val="0001785B"/>
    <w:rsid w:val="00020E99"/>
    <w:rsid w:val="00021328"/>
    <w:rsid w:val="0003631A"/>
    <w:rsid w:val="00071527"/>
    <w:rsid w:val="00077DE3"/>
    <w:rsid w:val="00092189"/>
    <w:rsid w:val="000C1F5D"/>
    <w:rsid w:val="000D5645"/>
    <w:rsid w:val="000D5DD8"/>
    <w:rsid w:val="000E1D1C"/>
    <w:rsid w:val="000E1EEA"/>
    <w:rsid w:val="000F120E"/>
    <w:rsid w:val="0011778B"/>
    <w:rsid w:val="0012003A"/>
    <w:rsid w:val="001363F2"/>
    <w:rsid w:val="001455FC"/>
    <w:rsid w:val="00151C99"/>
    <w:rsid w:val="00154324"/>
    <w:rsid w:val="00172A65"/>
    <w:rsid w:val="00182D2B"/>
    <w:rsid w:val="001A0601"/>
    <w:rsid w:val="001A4DD6"/>
    <w:rsid w:val="001C2F26"/>
    <w:rsid w:val="001C58F7"/>
    <w:rsid w:val="001E10A5"/>
    <w:rsid w:val="001E37AD"/>
    <w:rsid w:val="001F1DAF"/>
    <w:rsid w:val="002058D6"/>
    <w:rsid w:val="00205C70"/>
    <w:rsid w:val="002227B1"/>
    <w:rsid w:val="0023190F"/>
    <w:rsid w:val="00232AC5"/>
    <w:rsid w:val="002334A9"/>
    <w:rsid w:val="00253F90"/>
    <w:rsid w:val="00255E7C"/>
    <w:rsid w:val="002641E2"/>
    <w:rsid w:val="00272DBA"/>
    <w:rsid w:val="00277C72"/>
    <w:rsid w:val="00277D29"/>
    <w:rsid w:val="00283D30"/>
    <w:rsid w:val="00284707"/>
    <w:rsid w:val="002911CA"/>
    <w:rsid w:val="00293210"/>
    <w:rsid w:val="002937B7"/>
    <w:rsid w:val="002C1C28"/>
    <w:rsid w:val="002F05EF"/>
    <w:rsid w:val="003030D6"/>
    <w:rsid w:val="00345D98"/>
    <w:rsid w:val="00352626"/>
    <w:rsid w:val="00353F5E"/>
    <w:rsid w:val="00357577"/>
    <w:rsid w:val="00376915"/>
    <w:rsid w:val="0037732B"/>
    <w:rsid w:val="003815B4"/>
    <w:rsid w:val="0039338A"/>
    <w:rsid w:val="00393E8A"/>
    <w:rsid w:val="003967A7"/>
    <w:rsid w:val="003A5E95"/>
    <w:rsid w:val="003B4A4E"/>
    <w:rsid w:val="003B7FBB"/>
    <w:rsid w:val="003C639D"/>
    <w:rsid w:val="003C6E6E"/>
    <w:rsid w:val="003D2675"/>
    <w:rsid w:val="003F140F"/>
    <w:rsid w:val="003F3D15"/>
    <w:rsid w:val="0040513E"/>
    <w:rsid w:val="00407C2E"/>
    <w:rsid w:val="0041054C"/>
    <w:rsid w:val="00413844"/>
    <w:rsid w:val="00415E0E"/>
    <w:rsid w:val="00442967"/>
    <w:rsid w:val="0046011A"/>
    <w:rsid w:val="00464A7E"/>
    <w:rsid w:val="00480383"/>
    <w:rsid w:val="00491655"/>
    <w:rsid w:val="00493302"/>
    <w:rsid w:val="004B4AE1"/>
    <w:rsid w:val="004B5292"/>
    <w:rsid w:val="004C2AF7"/>
    <w:rsid w:val="004C7944"/>
    <w:rsid w:val="004D4E26"/>
    <w:rsid w:val="004F7600"/>
    <w:rsid w:val="004F7936"/>
    <w:rsid w:val="00501BE6"/>
    <w:rsid w:val="0050445B"/>
    <w:rsid w:val="00514F18"/>
    <w:rsid w:val="00516B02"/>
    <w:rsid w:val="00530EAE"/>
    <w:rsid w:val="00532549"/>
    <w:rsid w:val="00583FAF"/>
    <w:rsid w:val="005A3B38"/>
    <w:rsid w:val="005A4C61"/>
    <w:rsid w:val="005C1D55"/>
    <w:rsid w:val="005D03AD"/>
    <w:rsid w:val="005D31DE"/>
    <w:rsid w:val="005D521E"/>
    <w:rsid w:val="005E56F3"/>
    <w:rsid w:val="006107BA"/>
    <w:rsid w:val="006168BA"/>
    <w:rsid w:val="00636E63"/>
    <w:rsid w:val="00637B31"/>
    <w:rsid w:val="006556F0"/>
    <w:rsid w:val="00684719"/>
    <w:rsid w:val="006954F4"/>
    <w:rsid w:val="006B33B1"/>
    <w:rsid w:val="006B557F"/>
    <w:rsid w:val="006C5933"/>
    <w:rsid w:val="006F6C4D"/>
    <w:rsid w:val="00706F51"/>
    <w:rsid w:val="00724671"/>
    <w:rsid w:val="00772F55"/>
    <w:rsid w:val="007732A4"/>
    <w:rsid w:val="0078205F"/>
    <w:rsid w:val="0079639C"/>
    <w:rsid w:val="007B00B9"/>
    <w:rsid w:val="007B0E4B"/>
    <w:rsid w:val="007B2EE7"/>
    <w:rsid w:val="007B64CC"/>
    <w:rsid w:val="007D0547"/>
    <w:rsid w:val="007F0C37"/>
    <w:rsid w:val="0080258F"/>
    <w:rsid w:val="00813A1D"/>
    <w:rsid w:val="0083616F"/>
    <w:rsid w:val="008370A8"/>
    <w:rsid w:val="00856E8E"/>
    <w:rsid w:val="00865366"/>
    <w:rsid w:val="008653D8"/>
    <w:rsid w:val="0087019C"/>
    <w:rsid w:val="00870E3E"/>
    <w:rsid w:val="00872B5D"/>
    <w:rsid w:val="008856B4"/>
    <w:rsid w:val="0089729E"/>
    <w:rsid w:val="008A483B"/>
    <w:rsid w:val="008C12A8"/>
    <w:rsid w:val="008C1C95"/>
    <w:rsid w:val="008D389B"/>
    <w:rsid w:val="008D45F0"/>
    <w:rsid w:val="00912FF7"/>
    <w:rsid w:val="009321ED"/>
    <w:rsid w:val="00932317"/>
    <w:rsid w:val="009425DA"/>
    <w:rsid w:val="00966790"/>
    <w:rsid w:val="00973C9C"/>
    <w:rsid w:val="00985400"/>
    <w:rsid w:val="0099202B"/>
    <w:rsid w:val="00993B4D"/>
    <w:rsid w:val="009A30F9"/>
    <w:rsid w:val="009A7DCE"/>
    <w:rsid w:val="009B277B"/>
    <w:rsid w:val="009D2E6A"/>
    <w:rsid w:val="009D6763"/>
    <w:rsid w:val="00A0100F"/>
    <w:rsid w:val="00A02296"/>
    <w:rsid w:val="00A3796C"/>
    <w:rsid w:val="00A4009A"/>
    <w:rsid w:val="00A444FB"/>
    <w:rsid w:val="00A62A39"/>
    <w:rsid w:val="00A67E9D"/>
    <w:rsid w:val="00A80F7B"/>
    <w:rsid w:val="00A93FAA"/>
    <w:rsid w:val="00AA48DA"/>
    <w:rsid w:val="00AB09AA"/>
    <w:rsid w:val="00AB60F0"/>
    <w:rsid w:val="00AD523A"/>
    <w:rsid w:val="00AD6142"/>
    <w:rsid w:val="00AE2F16"/>
    <w:rsid w:val="00AF16C1"/>
    <w:rsid w:val="00B04D93"/>
    <w:rsid w:val="00B14A08"/>
    <w:rsid w:val="00B242DA"/>
    <w:rsid w:val="00B55D34"/>
    <w:rsid w:val="00B64433"/>
    <w:rsid w:val="00B66D09"/>
    <w:rsid w:val="00B90717"/>
    <w:rsid w:val="00B9671F"/>
    <w:rsid w:val="00BB6D1A"/>
    <w:rsid w:val="00BC3CEE"/>
    <w:rsid w:val="00BE2BD6"/>
    <w:rsid w:val="00BF2845"/>
    <w:rsid w:val="00C046A5"/>
    <w:rsid w:val="00C12D3C"/>
    <w:rsid w:val="00C15E81"/>
    <w:rsid w:val="00C1786E"/>
    <w:rsid w:val="00C27F12"/>
    <w:rsid w:val="00C4685E"/>
    <w:rsid w:val="00C83039"/>
    <w:rsid w:val="00C96290"/>
    <w:rsid w:val="00CA77B0"/>
    <w:rsid w:val="00CB624E"/>
    <w:rsid w:val="00CC6FE8"/>
    <w:rsid w:val="00CD748F"/>
    <w:rsid w:val="00D00B56"/>
    <w:rsid w:val="00D13B01"/>
    <w:rsid w:val="00D204CC"/>
    <w:rsid w:val="00D3210B"/>
    <w:rsid w:val="00D42164"/>
    <w:rsid w:val="00D510F5"/>
    <w:rsid w:val="00D53F33"/>
    <w:rsid w:val="00D6353F"/>
    <w:rsid w:val="00D677CD"/>
    <w:rsid w:val="00D71AF1"/>
    <w:rsid w:val="00D750E6"/>
    <w:rsid w:val="00D76B8B"/>
    <w:rsid w:val="00D800C8"/>
    <w:rsid w:val="00D81F03"/>
    <w:rsid w:val="00D870FE"/>
    <w:rsid w:val="00D9175E"/>
    <w:rsid w:val="00DA6AD0"/>
    <w:rsid w:val="00DB429F"/>
    <w:rsid w:val="00DE0112"/>
    <w:rsid w:val="00DE64EF"/>
    <w:rsid w:val="00DF3381"/>
    <w:rsid w:val="00E05E4D"/>
    <w:rsid w:val="00E21A0E"/>
    <w:rsid w:val="00E22C45"/>
    <w:rsid w:val="00E30FC3"/>
    <w:rsid w:val="00E31BCC"/>
    <w:rsid w:val="00E568D0"/>
    <w:rsid w:val="00E66870"/>
    <w:rsid w:val="00E77AE8"/>
    <w:rsid w:val="00E86172"/>
    <w:rsid w:val="00E9036C"/>
    <w:rsid w:val="00EA35EA"/>
    <w:rsid w:val="00EC5E44"/>
    <w:rsid w:val="00EE3AC8"/>
    <w:rsid w:val="00EE4EF1"/>
    <w:rsid w:val="00F05301"/>
    <w:rsid w:val="00F16C74"/>
    <w:rsid w:val="00F20454"/>
    <w:rsid w:val="00F2243E"/>
    <w:rsid w:val="00F26A81"/>
    <w:rsid w:val="00F27340"/>
    <w:rsid w:val="00F47183"/>
    <w:rsid w:val="00F617AA"/>
    <w:rsid w:val="00F63F99"/>
    <w:rsid w:val="00F833A6"/>
    <w:rsid w:val="00F85E2B"/>
    <w:rsid w:val="00FA059E"/>
    <w:rsid w:val="00FB4AAE"/>
    <w:rsid w:val="00FB611F"/>
    <w:rsid w:val="00FD562B"/>
    <w:rsid w:val="00FD6142"/>
    <w:rsid w:val="00F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B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17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17AA"/>
    <w:rPr>
      <w:sz w:val="18"/>
      <w:szCs w:val="18"/>
    </w:rPr>
  </w:style>
  <w:style w:type="table" w:styleId="a6">
    <w:name w:val="Table Grid"/>
    <w:basedOn w:val="a1"/>
    <w:uiPriority w:val="39"/>
    <w:rsid w:val="00CD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2174-B06D-40D0-B1C7-D30F943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4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ZHONGM</cp:lastModifiedBy>
  <cp:revision>2</cp:revision>
  <cp:lastPrinted>2020-08-14T05:28:00Z</cp:lastPrinted>
  <dcterms:created xsi:type="dcterms:W3CDTF">2021-01-07T16:17:00Z</dcterms:created>
  <dcterms:modified xsi:type="dcterms:W3CDTF">2021-01-07T16:17:00Z</dcterms:modified>
</cp:coreProperties>
</file>