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B28" w:rsidRDefault="001F6C89">
      <w:pPr>
        <w:autoSpaceDE w:val="0"/>
        <w:autoSpaceDN w:val="0"/>
        <w:adjustRightInd w:val="0"/>
        <w:jc w:val="center"/>
        <w:rPr>
          <w:rFonts w:ascii="方正仿宋简体" w:eastAsia="方正仿宋简体" w:hAnsiTheme="minorEastAsia" w:cs="仿宋_GB2312"/>
          <w:kern w:val="0"/>
          <w:sz w:val="36"/>
          <w:szCs w:val="36"/>
        </w:rPr>
      </w:pPr>
      <w:bookmarkStart w:id="0" w:name="_GoBack"/>
      <w:bookmarkEnd w:id="0"/>
      <w:r>
        <w:rPr>
          <w:rFonts w:ascii="方正仿宋简体" w:eastAsia="方正仿宋简体" w:hAnsiTheme="minorEastAsia" w:cs="仿宋_GB2312" w:hint="eastAsia"/>
          <w:kern w:val="0"/>
          <w:sz w:val="36"/>
          <w:szCs w:val="36"/>
        </w:rPr>
        <w:t>新华增盈回报债券型证券投资基金基金产品资料概要</w:t>
      </w:r>
      <w:r w:rsidR="006C0FBF">
        <w:rPr>
          <w:rFonts w:ascii="方正仿宋简体" w:eastAsia="方正仿宋简体" w:hAnsiTheme="minorEastAsia" w:cs="仿宋_GB2312" w:hint="eastAsia"/>
          <w:kern w:val="0"/>
          <w:sz w:val="36"/>
          <w:szCs w:val="36"/>
        </w:rPr>
        <w:t>（更新）</w:t>
      </w:r>
    </w:p>
    <w:p w:rsidR="00225B28" w:rsidRDefault="001F6C89">
      <w:pPr>
        <w:autoSpaceDE w:val="0"/>
        <w:autoSpaceDN w:val="0"/>
        <w:adjustRightInd w:val="0"/>
        <w:jc w:val="right"/>
        <w:rPr>
          <w:rFonts w:ascii="方正仿宋简体" w:eastAsia="方正仿宋简体" w:hAnsi="方正仿宋简体" w:cs="方正仿宋简体"/>
          <w:iCs/>
          <w:sz w:val="24"/>
          <w:szCs w:val="24"/>
        </w:rPr>
      </w:pPr>
      <w:r>
        <w:rPr>
          <w:rFonts w:ascii="方正仿宋简体" w:eastAsia="方正仿宋简体" w:hAnsi="方正仿宋简体" w:cs="方正仿宋简体" w:hint="eastAsia"/>
          <w:iCs/>
          <w:sz w:val="24"/>
          <w:szCs w:val="24"/>
        </w:rPr>
        <w:t>编制日期：</w:t>
      </w:r>
      <w:r w:rsidR="00DE40FC">
        <w:rPr>
          <w:rFonts w:ascii="方正仿宋简体" w:eastAsia="方正仿宋简体" w:hAnsi="方正仿宋简体" w:cs="方正仿宋简体" w:hint="eastAsia"/>
          <w:iCs/>
          <w:kern w:val="0"/>
          <w:sz w:val="24"/>
          <w:szCs w:val="24"/>
        </w:rPr>
        <w:t>202</w:t>
      </w:r>
      <w:r w:rsidR="00E85BB9">
        <w:rPr>
          <w:rFonts w:ascii="方正仿宋简体" w:eastAsia="方正仿宋简体" w:hAnsi="方正仿宋简体" w:cs="方正仿宋简体"/>
          <w:iCs/>
          <w:kern w:val="0"/>
          <w:sz w:val="24"/>
          <w:szCs w:val="24"/>
        </w:rPr>
        <w:t>1</w:t>
      </w:r>
      <w:r w:rsidR="00DE40FC">
        <w:rPr>
          <w:rFonts w:ascii="方正仿宋简体" w:eastAsia="方正仿宋简体" w:hAnsi="方正仿宋简体" w:cs="方正仿宋简体" w:hint="eastAsia"/>
          <w:iCs/>
          <w:kern w:val="0"/>
          <w:sz w:val="24"/>
          <w:szCs w:val="24"/>
        </w:rPr>
        <w:t>年</w:t>
      </w:r>
      <w:r w:rsidR="00E85BB9">
        <w:rPr>
          <w:rFonts w:ascii="方正仿宋简体" w:eastAsia="方正仿宋简体" w:hAnsi="方正仿宋简体" w:cs="方正仿宋简体"/>
          <w:iCs/>
          <w:kern w:val="0"/>
          <w:sz w:val="24"/>
          <w:szCs w:val="24"/>
        </w:rPr>
        <w:t>1</w:t>
      </w:r>
      <w:r w:rsidR="00DE40FC">
        <w:rPr>
          <w:rFonts w:ascii="方正仿宋简体" w:eastAsia="方正仿宋简体" w:hAnsi="方正仿宋简体" w:cs="方正仿宋简体" w:hint="eastAsia"/>
          <w:iCs/>
          <w:kern w:val="0"/>
          <w:sz w:val="24"/>
          <w:szCs w:val="24"/>
        </w:rPr>
        <w:t>月</w:t>
      </w:r>
      <w:r w:rsidR="00D9002B">
        <w:rPr>
          <w:rFonts w:ascii="方正仿宋简体" w:eastAsia="方正仿宋简体" w:hAnsi="方正仿宋简体" w:cs="方正仿宋简体"/>
          <w:iCs/>
          <w:kern w:val="0"/>
          <w:sz w:val="24"/>
          <w:szCs w:val="24"/>
        </w:rPr>
        <w:t>7</w:t>
      </w:r>
      <w:r w:rsidR="00DE40FC">
        <w:rPr>
          <w:rFonts w:ascii="方正仿宋简体" w:eastAsia="方正仿宋简体" w:hAnsi="方正仿宋简体" w:cs="方正仿宋简体" w:hint="eastAsia"/>
          <w:iCs/>
          <w:kern w:val="0"/>
          <w:sz w:val="24"/>
          <w:szCs w:val="24"/>
        </w:rPr>
        <w:t>日</w:t>
      </w:r>
    </w:p>
    <w:p w:rsidR="00225B28" w:rsidRDefault="001F6C89">
      <w:pPr>
        <w:autoSpaceDE w:val="0"/>
        <w:autoSpaceDN w:val="0"/>
        <w:adjustRightInd w:val="0"/>
        <w:jc w:val="center"/>
        <w:rPr>
          <w:rFonts w:ascii="方正仿宋简体" w:eastAsia="方正仿宋简体" w:hAnsi="方正仿宋简体" w:cs="方正仿宋简体"/>
          <w:iCs/>
          <w:sz w:val="24"/>
          <w:szCs w:val="24"/>
        </w:rPr>
      </w:pPr>
      <w:r>
        <w:rPr>
          <w:rFonts w:ascii="方正仿宋简体" w:eastAsia="方正仿宋简体" w:hAnsi="方正仿宋简体" w:cs="方正仿宋简体" w:hint="eastAsia"/>
          <w:iCs/>
          <w:sz w:val="24"/>
          <w:szCs w:val="24"/>
        </w:rPr>
        <w:t>送出日期：</w:t>
      </w:r>
      <w:r w:rsidR="00DE40FC">
        <w:rPr>
          <w:rFonts w:ascii="方正仿宋简体" w:eastAsia="方正仿宋简体" w:hAnsi="方正仿宋简体" w:cs="方正仿宋简体" w:hint="eastAsia"/>
          <w:iCs/>
          <w:kern w:val="0"/>
          <w:sz w:val="24"/>
          <w:szCs w:val="24"/>
        </w:rPr>
        <w:t>202</w:t>
      </w:r>
      <w:r w:rsidR="00E85BB9">
        <w:rPr>
          <w:rFonts w:ascii="方正仿宋简体" w:eastAsia="方正仿宋简体" w:hAnsi="方正仿宋简体" w:cs="方正仿宋简体"/>
          <w:iCs/>
          <w:kern w:val="0"/>
          <w:sz w:val="24"/>
          <w:szCs w:val="24"/>
        </w:rPr>
        <w:t>1</w:t>
      </w:r>
      <w:r w:rsidR="00DE40FC">
        <w:rPr>
          <w:rFonts w:ascii="方正仿宋简体" w:eastAsia="方正仿宋简体" w:hAnsi="方正仿宋简体" w:cs="方正仿宋简体" w:hint="eastAsia"/>
          <w:iCs/>
          <w:kern w:val="0"/>
          <w:sz w:val="24"/>
          <w:szCs w:val="24"/>
        </w:rPr>
        <w:t>年</w:t>
      </w:r>
      <w:r w:rsidR="00E85BB9">
        <w:rPr>
          <w:rFonts w:ascii="方正仿宋简体" w:eastAsia="方正仿宋简体" w:hAnsi="方正仿宋简体" w:cs="方正仿宋简体"/>
          <w:iCs/>
          <w:kern w:val="0"/>
          <w:sz w:val="24"/>
          <w:szCs w:val="24"/>
        </w:rPr>
        <w:t>1</w:t>
      </w:r>
      <w:r w:rsidR="00DE40FC">
        <w:rPr>
          <w:rFonts w:ascii="方正仿宋简体" w:eastAsia="方正仿宋简体" w:hAnsi="方正仿宋简体" w:cs="方正仿宋简体" w:hint="eastAsia"/>
          <w:iCs/>
          <w:kern w:val="0"/>
          <w:sz w:val="24"/>
          <w:szCs w:val="24"/>
        </w:rPr>
        <w:t>月</w:t>
      </w:r>
      <w:r w:rsidR="00D9002B">
        <w:rPr>
          <w:rFonts w:ascii="方正仿宋简体" w:eastAsia="方正仿宋简体" w:hAnsi="方正仿宋简体" w:cs="方正仿宋简体"/>
          <w:iCs/>
          <w:kern w:val="0"/>
          <w:sz w:val="24"/>
          <w:szCs w:val="24"/>
        </w:rPr>
        <w:t>8</w:t>
      </w:r>
      <w:r w:rsidR="00DE40FC">
        <w:rPr>
          <w:rFonts w:ascii="方正仿宋简体" w:eastAsia="方正仿宋简体" w:hAnsi="方正仿宋简体" w:cs="方正仿宋简体" w:hint="eastAsia"/>
          <w:iCs/>
          <w:kern w:val="0"/>
          <w:sz w:val="24"/>
          <w:szCs w:val="24"/>
        </w:rPr>
        <w:t>日</w:t>
      </w:r>
    </w:p>
    <w:p w:rsidR="00225B28" w:rsidRDefault="001F6C89">
      <w:pPr>
        <w:autoSpaceDE w:val="0"/>
        <w:autoSpaceDN w:val="0"/>
        <w:adjustRightInd w:val="0"/>
        <w:spacing w:line="380" w:lineRule="exact"/>
        <w:jc w:val="left"/>
        <w:rPr>
          <w:rFonts w:ascii="方正黑体简体" w:eastAsia="方正黑体简体" w:cs="黑体"/>
          <w:kern w:val="0"/>
          <w:sz w:val="32"/>
          <w:szCs w:val="32"/>
        </w:rPr>
      </w:pPr>
      <w:r>
        <w:rPr>
          <w:rFonts w:ascii="方正黑体简体" w:eastAsia="方正黑体简体" w:cs="黑体" w:hint="eastAsia"/>
          <w:kern w:val="0"/>
          <w:sz w:val="32"/>
          <w:szCs w:val="32"/>
        </w:rPr>
        <w:t>本概要提供本基金的重要信息，是招募说明书的一部分。</w:t>
      </w:r>
    </w:p>
    <w:p w:rsidR="00225B28" w:rsidRDefault="001F6C89">
      <w:pPr>
        <w:autoSpaceDE w:val="0"/>
        <w:autoSpaceDN w:val="0"/>
        <w:adjustRightInd w:val="0"/>
        <w:spacing w:line="380" w:lineRule="exact"/>
        <w:jc w:val="left"/>
        <w:rPr>
          <w:rFonts w:ascii="方正黑体简体" w:eastAsia="方正黑体简体" w:cs="黑体"/>
          <w:kern w:val="0"/>
          <w:sz w:val="32"/>
          <w:szCs w:val="32"/>
        </w:rPr>
      </w:pPr>
      <w:r>
        <w:rPr>
          <w:rFonts w:ascii="方正黑体简体" w:eastAsia="方正黑体简体" w:cs="黑体" w:hint="eastAsia"/>
          <w:kern w:val="0"/>
          <w:sz w:val="32"/>
          <w:szCs w:val="32"/>
        </w:rPr>
        <w:t>作出投资决定前，请阅读完整的招募说明书等销售文件。</w:t>
      </w:r>
    </w:p>
    <w:p w:rsidR="00225B28" w:rsidRDefault="001F6C89">
      <w:pPr>
        <w:numPr>
          <w:ilvl w:val="0"/>
          <w:numId w:val="10"/>
        </w:numPr>
        <w:spacing w:line="280" w:lineRule="exact"/>
        <w:outlineLvl w:val="0"/>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产品概况</w:t>
      </w:r>
    </w:p>
    <w:tbl>
      <w:tblPr>
        <w:tblStyle w:val="a9"/>
        <w:tblW w:w="5000" w:type="pct"/>
        <w:tblBorders>
          <w:left w:val="none" w:sz="0" w:space="0" w:color="auto"/>
          <w:right w:val="none" w:sz="0" w:space="0" w:color="auto"/>
          <w:insideH w:val="dashSmallGap" w:sz="4" w:space="0" w:color="A6A6A6" w:themeColor="background1" w:themeShade="A6"/>
          <w:insideV w:val="none" w:sz="0" w:space="0" w:color="auto"/>
        </w:tblBorders>
        <w:tblLayout w:type="fixed"/>
        <w:tblLook w:val="04A0"/>
      </w:tblPr>
      <w:tblGrid>
        <w:gridCol w:w="1809"/>
        <w:gridCol w:w="2551"/>
        <w:gridCol w:w="1703"/>
        <w:gridCol w:w="2459"/>
      </w:tblGrid>
      <w:tr w:rsidR="00225B28" w:rsidTr="00C27AB5">
        <w:trPr>
          <w:trHeight w:val="150"/>
        </w:trPr>
        <w:tc>
          <w:tcPr>
            <w:tcW w:w="1061" w:type="pct"/>
            <w:vAlign w:val="center"/>
          </w:tcPr>
          <w:p w:rsidR="00225B28" w:rsidRDefault="001F6C89">
            <w:pPr>
              <w:spacing w:line="28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基金简称</w:t>
            </w:r>
          </w:p>
        </w:tc>
        <w:tc>
          <w:tcPr>
            <w:tcW w:w="1497" w:type="pct"/>
            <w:vAlign w:val="center"/>
          </w:tcPr>
          <w:p w:rsidR="00225B28" w:rsidRDefault="001F6C89">
            <w:pPr>
              <w:spacing w:line="28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新华增盈回报债券</w:t>
            </w:r>
          </w:p>
        </w:tc>
        <w:tc>
          <w:tcPr>
            <w:tcW w:w="999" w:type="pct"/>
            <w:vAlign w:val="center"/>
          </w:tcPr>
          <w:p w:rsidR="00225B28" w:rsidRDefault="001F6C89">
            <w:pPr>
              <w:spacing w:line="28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基金代码</w:t>
            </w:r>
          </w:p>
        </w:tc>
        <w:tc>
          <w:tcPr>
            <w:tcW w:w="1443" w:type="pct"/>
            <w:tcBorders>
              <w:bottom w:val="dashSmallGap" w:sz="4" w:space="0" w:color="A6A6A6" w:themeColor="background1" w:themeShade="A6"/>
            </w:tcBorders>
            <w:vAlign w:val="center"/>
          </w:tcPr>
          <w:p w:rsidR="00225B28" w:rsidRDefault="001F6C89">
            <w:pPr>
              <w:spacing w:line="28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000973</w:t>
            </w:r>
          </w:p>
        </w:tc>
      </w:tr>
      <w:tr w:rsidR="00225B28" w:rsidTr="005C5C71">
        <w:trPr>
          <w:trHeight w:val="454"/>
        </w:trPr>
        <w:tc>
          <w:tcPr>
            <w:tcW w:w="1061" w:type="pct"/>
            <w:vAlign w:val="center"/>
          </w:tcPr>
          <w:p w:rsidR="00225B28" w:rsidRDefault="001F6C89">
            <w:pPr>
              <w:spacing w:line="28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基金管理人</w:t>
            </w:r>
          </w:p>
        </w:tc>
        <w:tc>
          <w:tcPr>
            <w:tcW w:w="1497" w:type="pct"/>
            <w:tcBorders>
              <w:top w:val="dashSmallGap" w:sz="4" w:space="0" w:color="A6A6A6" w:themeColor="background1" w:themeShade="A6"/>
            </w:tcBorders>
            <w:vAlign w:val="center"/>
          </w:tcPr>
          <w:p w:rsidR="00225B28" w:rsidRDefault="001F6C89">
            <w:pPr>
              <w:spacing w:line="28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新华基金管理股份有限公司</w:t>
            </w:r>
          </w:p>
        </w:tc>
        <w:tc>
          <w:tcPr>
            <w:tcW w:w="999" w:type="pct"/>
            <w:vAlign w:val="center"/>
          </w:tcPr>
          <w:p w:rsidR="00225B28" w:rsidRDefault="001F6C89">
            <w:pPr>
              <w:spacing w:line="28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基金托管人</w:t>
            </w:r>
          </w:p>
        </w:tc>
        <w:tc>
          <w:tcPr>
            <w:tcW w:w="1443" w:type="pct"/>
            <w:tcBorders>
              <w:top w:val="dashSmallGap" w:sz="4" w:space="0" w:color="A6A6A6" w:themeColor="background1" w:themeShade="A6"/>
            </w:tcBorders>
            <w:vAlign w:val="center"/>
          </w:tcPr>
          <w:p w:rsidR="00225B28" w:rsidRDefault="001F6C89">
            <w:pPr>
              <w:spacing w:line="28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 xml:space="preserve">平安银行股份有限公司 </w:t>
            </w:r>
          </w:p>
        </w:tc>
      </w:tr>
      <w:tr w:rsidR="00225B28" w:rsidTr="00C27AB5">
        <w:trPr>
          <w:trHeight w:val="454"/>
        </w:trPr>
        <w:tc>
          <w:tcPr>
            <w:tcW w:w="1061" w:type="pct"/>
            <w:vAlign w:val="center"/>
          </w:tcPr>
          <w:p w:rsidR="00225B28" w:rsidRDefault="001F6C89">
            <w:pPr>
              <w:spacing w:line="28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基金合同生效日</w:t>
            </w:r>
          </w:p>
        </w:tc>
        <w:tc>
          <w:tcPr>
            <w:tcW w:w="1497" w:type="pct"/>
            <w:vAlign w:val="center"/>
          </w:tcPr>
          <w:p w:rsidR="00225B28" w:rsidRDefault="001F6C89">
            <w:pPr>
              <w:spacing w:line="28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2015-01-16</w:t>
            </w:r>
          </w:p>
        </w:tc>
        <w:tc>
          <w:tcPr>
            <w:tcW w:w="999" w:type="pct"/>
            <w:vAlign w:val="center"/>
          </w:tcPr>
          <w:p w:rsidR="00225B28" w:rsidRDefault="00225B28">
            <w:pPr>
              <w:spacing w:line="280" w:lineRule="exact"/>
              <w:rPr>
                <w:rFonts w:ascii="方正仿宋简体" w:eastAsia="方正仿宋简体" w:hAnsiTheme="minorEastAsia" w:cs="方正仿宋简体"/>
                <w:b/>
                <w:iCs/>
              </w:rPr>
            </w:pPr>
          </w:p>
        </w:tc>
        <w:tc>
          <w:tcPr>
            <w:tcW w:w="1443" w:type="pct"/>
            <w:tcBorders>
              <w:top w:val="dashSmallGap" w:sz="4" w:space="0" w:color="A6A6A6" w:themeColor="background1" w:themeShade="A6"/>
              <w:bottom w:val="nil"/>
            </w:tcBorders>
            <w:vAlign w:val="center"/>
          </w:tcPr>
          <w:p w:rsidR="00225B28" w:rsidRDefault="001F6C89">
            <w:pPr>
              <w:spacing w:line="28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 xml:space="preserve"> </w:t>
            </w:r>
          </w:p>
        </w:tc>
      </w:tr>
      <w:tr w:rsidR="00094F82" w:rsidTr="005C5C71">
        <w:trPr>
          <w:trHeight w:val="454"/>
        </w:trPr>
        <w:tc>
          <w:tcPr>
            <w:tcW w:w="1061" w:type="pct"/>
            <w:vAlign w:val="center"/>
          </w:tcPr>
          <w:p w:rsidR="00094F82" w:rsidRDefault="00094F82" w:rsidP="00094F82">
            <w:pPr>
              <w:spacing w:line="28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基金类型</w:t>
            </w:r>
          </w:p>
        </w:tc>
        <w:tc>
          <w:tcPr>
            <w:tcW w:w="1497" w:type="pct"/>
            <w:vAlign w:val="center"/>
          </w:tcPr>
          <w:p w:rsidR="00094F82" w:rsidRDefault="00094F82" w:rsidP="00094F82">
            <w:pPr>
              <w:spacing w:line="280" w:lineRule="exact"/>
              <w:rPr>
                <w:rFonts w:ascii="方正仿宋简体" w:eastAsia="方正仿宋简体" w:hAnsiTheme="minorEastAsia" w:cs="方正仿宋简体"/>
                <w:iCs/>
              </w:rPr>
            </w:pPr>
            <w:r w:rsidRPr="007A55B5">
              <w:rPr>
                <w:rFonts w:ascii="方正仿宋简体" w:eastAsia="方正仿宋简体" w:hAnsiTheme="minorEastAsia" w:cs="方正仿宋简体" w:hint="eastAsia"/>
                <w:iCs/>
              </w:rPr>
              <w:t>债券型</w:t>
            </w:r>
          </w:p>
        </w:tc>
        <w:tc>
          <w:tcPr>
            <w:tcW w:w="999" w:type="pct"/>
            <w:vAlign w:val="center"/>
          </w:tcPr>
          <w:p w:rsidR="00094F82" w:rsidRDefault="00094F82" w:rsidP="00094F82">
            <w:pPr>
              <w:spacing w:line="28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交易币种</w:t>
            </w:r>
          </w:p>
        </w:tc>
        <w:tc>
          <w:tcPr>
            <w:tcW w:w="1443" w:type="pct"/>
            <w:tcBorders>
              <w:top w:val="dashSmallGap" w:sz="4" w:space="0" w:color="A6A6A6" w:themeColor="background1" w:themeShade="A6"/>
            </w:tcBorders>
            <w:vAlign w:val="center"/>
          </w:tcPr>
          <w:p w:rsidR="00094F82" w:rsidRDefault="001369E1" w:rsidP="00094F82">
            <w:pPr>
              <w:spacing w:line="280" w:lineRule="exact"/>
              <w:rPr>
                <w:rFonts w:ascii="方正仿宋简体" w:eastAsia="方正仿宋简体" w:hAnsiTheme="minorEastAsia" w:cs="方正仿宋简体"/>
                <w:iCs/>
              </w:rPr>
            </w:pPr>
            <w:r w:rsidRPr="007A55B5">
              <w:rPr>
                <w:rFonts w:ascii="方正仿宋简体" w:eastAsia="方正仿宋简体" w:hAnsiTheme="minorEastAsia" w:cs="方正仿宋简体" w:hint="eastAsia"/>
                <w:iCs/>
              </w:rPr>
              <w:t>人民币</w:t>
            </w:r>
          </w:p>
        </w:tc>
      </w:tr>
      <w:tr w:rsidR="00094F82" w:rsidTr="005C5C71">
        <w:trPr>
          <w:trHeight w:val="454"/>
        </w:trPr>
        <w:tc>
          <w:tcPr>
            <w:tcW w:w="1061" w:type="pct"/>
            <w:vAlign w:val="center"/>
          </w:tcPr>
          <w:p w:rsidR="00094F82" w:rsidRDefault="00094F82" w:rsidP="00094F82">
            <w:pPr>
              <w:spacing w:line="28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运作方式</w:t>
            </w:r>
          </w:p>
        </w:tc>
        <w:tc>
          <w:tcPr>
            <w:tcW w:w="1497" w:type="pct"/>
            <w:vAlign w:val="center"/>
          </w:tcPr>
          <w:p w:rsidR="00094F82" w:rsidRDefault="00094F82" w:rsidP="00094F82">
            <w:pPr>
              <w:spacing w:line="280" w:lineRule="exact"/>
              <w:rPr>
                <w:rFonts w:ascii="方正仿宋简体" w:eastAsia="方正仿宋简体" w:hAnsiTheme="minorEastAsia" w:cs="方正仿宋简体"/>
                <w:iCs/>
              </w:rPr>
            </w:pPr>
            <w:r w:rsidRPr="007A55B5">
              <w:rPr>
                <w:rFonts w:ascii="方正仿宋简体" w:eastAsia="方正仿宋简体" w:hAnsiTheme="minorEastAsia" w:cs="方正仿宋简体" w:hint="eastAsia"/>
                <w:iCs/>
              </w:rPr>
              <w:t>普通开放式</w:t>
            </w:r>
          </w:p>
        </w:tc>
        <w:tc>
          <w:tcPr>
            <w:tcW w:w="999" w:type="pct"/>
            <w:vAlign w:val="center"/>
          </w:tcPr>
          <w:p w:rsidR="00094F82" w:rsidRDefault="00094F82" w:rsidP="00094F82">
            <w:pPr>
              <w:spacing w:line="28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开放频率</w:t>
            </w:r>
          </w:p>
        </w:tc>
        <w:tc>
          <w:tcPr>
            <w:tcW w:w="1443" w:type="pct"/>
            <w:vAlign w:val="center"/>
          </w:tcPr>
          <w:p w:rsidR="00094F82" w:rsidRDefault="00094F82" w:rsidP="00094F82">
            <w:pPr>
              <w:spacing w:line="28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每个开放日</w:t>
            </w:r>
          </w:p>
        </w:tc>
      </w:tr>
      <w:tr w:rsidR="00094F82" w:rsidTr="005C5C71">
        <w:trPr>
          <w:trHeight w:val="454"/>
        </w:trPr>
        <w:tc>
          <w:tcPr>
            <w:tcW w:w="1061" w:type="pct"/>
            <w:vMerge w:val="restart"/>
            <w:vAlign w:val="center"/>
          </w:tcPr>
          <w:p w:rsidR="00094F82" w:rsidRDefault="00094F82" w:rsidP="00094F82">
            <w:pPr>
              <w:spacing w:line="28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基金经理</w:t>
            </w:r>
          </w:p>
        </w:tc>
        <w:tc>
          <w:tcPr>
            <w:tcW w:w="1497" w:type="pct"/>
            <w:vMerge w:val="restart"/>
            <w:vAlign w:val="center"/>
          </w:tcPr>
          <w:p w:rsidR="00094F82" w:rsidRPr="00C27AB5" w:rsidRDefault="00132A67" w:rsidP="00094F82">
            <w:pPr>
              <w:spacing w:line="280" w:lineRule="exact"/>
              <w:rPr>
                <w:rFonts w:ascii="方正仿宋简体" w:eastAsia="方正仿宋简体" w:hAnsiTheme="minorEastAsia" w:cs="方正仿宋简体"/>
                <w:iCs/>
              </w:rPr>
            </w:pPr>
            <w:r w:rsidRPr="007A55B5">
              <w:rPr>
                <w:rFonts w:ascii="方正仿宋简体" w:eastAsia="方正仿宋简体" w:hAnsiTheme="minorEastAsia" w:cs="方正仿宋简体" w:hint="eastAsia"/>
                <w:iCs/>
              </w:rPr>
              <w:t>姚秋</w:t>
            </w:r>
          </w:p>
        </w:tc>
        <w:tc>
          <w:tcPr>
            <w:tcW w:w="999" w:type="pct"/>
            <w:vAlign w:val="center"/>
          </w:tcPr>
          <w:p w:rsidR="00094F82" w:rsidRDefault="00094F82" w:rsidP="00094F82">
            <w:pPr>
              <w:spacing w:line="28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开始担任本基金基金经理的日期</w:t>
            </w:r>
          </w:p>
        </w:tc>
        <w:tc>
          <w:tcPr>
            <w:tcW w:w="1443" w:type="pct"/>
            <w:vAlign w:val="center"/>
          </w:tcPr>
          <w:p w:rsidR="00094F82" w:rsidRDefault="00132A67" w:rsidP="00094F82">
            <w:pPr>
              <w:spacing w:line="280" w:lineRule="exact"/>
              <w:rPr>
                <w:rFonts w:ascii="方正仿宋简体" w:eastAsia="方正仿宋简体" w:hAnsiTheme="minorEastAsia" w:cs="方正仿宋简体"/>
                <w:iCs/>
              </w:rPr>
            </w:pPr>
            <w:r>
              <w:rPr>
                <w:rFonts w:ascii="方正仿宋简体" w:eastAsia="方正仿宋简体" w:hAnsiTheme="minorEastAsia" w:cs="方正仿宋简体"/>
                <w:iCs/>
              </w:rPr>
              <w:t>2015</w:t>
            </w:r>
            <w:r>
              <w:rPr>
                <w:rFonts w:ascii="方正仿宋简体" w:eastAsia="方正仿宋简体" w:hAnsiTheme="minorEastAsia" w:cs="方正仿宋简体" w:hint="eastAsia"/>
                <w:iCs/>
              </w:rPr>
              <w:t>-</w:t>
            </w:r>
            <w:r w:rsidR="00776AC2">
              <w:rPr>
                <w:rFonts w:ascii="方正仿宋简体" w:eastAsia="方正仿宋简体" w:hAnsiTheme="minorEastAsia" w:cs="方正仿宋简体"/>
                <w:iCs/>
              </w:rPr>
              <w:t>0</w:t>
            </w:r>
            <w:r>
              <w:rPr>
                <w:rFonts w:ascii="方正仿宋简体" w:eastAsia="方正仿宋简体" w:hAnsiTheme="minorEastAsia" w:cs="方正仿宋简体"/>
                <w:iCs/>
              </w:rPr>
              <w:t>6</w:t>
            </w:r>
            <w:r>
              <w:rPr>
                <w:rFonts w:ascii="方正仿宋简体" w:eastAsia="方正仿宋简体" w:hAnsiTheme="minorEastAsia" w:cs="方正仿宋简体" w:hint="eastAsia"/>
                <w:iCs/>
              </w:rPr>
              <w:t>-</w:t>
            </w:r>
            <w:r w:rsidRPr="00132A67">
              <w:rPr>
                <w:rFonts w:ascii="方正仿宋简体" w:eastAsia="方正仿宋简体" w:hAnsiTheme="minorEastAsia" w:cs="方正仿宋简体"/>
                <w:iCs/>
              </w:rPr>
              <w:t>11</w:t>
            </w:r>
          </w:p>
        </w:tc>
      </w:tr>
      <w:tr w:rsidR="00094F82" w:rsidTr="005C5C71">
        <w:trPr>
          <w:trHeight w:val="454"/>
        </w:trPr>
        <w:tc>
          <w:tcPr>
            <w:tcW w:w="1061" w:type="pct"/>
            <w:vMerge/>
            <w:vAlign w:val="center"/>
          </w:tcPr>
          <w:p w:rsidR="00094F82" w:rsidRDefault="00094F82" w:rsidP="00094F82">
            <w:pPr>
              <w:spacing w:line="280" w:lineRule="exact"/>
              <w:rPr>
                <w:rFonts w:ascii="方正仿宋简体" w:eastAsia="方正仿宋简体" w:hAnsiTheme="minorEastAsia" w:cs="方正仿宋简体"/>
                <w:b/>
                <w:iCs/>
              </w:rPr>
            </w:pPr>
          </w:p>
        </w:tc>
        <w:tc>
          <w:tcPr>
            <w:tcW w:w="1497" w:type="pct"/>
            <w:vMerge/>
            <w:vAlign w:val="center"/>
          </w:tcPr>
          <w:p w:rsidR="00094F82" w:rsidRDefault="00094F82" w:rsidP="00094F82">
            <w:pPr>
              <w:spacing w:line="280" w:lineRule="exact"/>
              <w:rPr>
                <w:rFonts w:ascii="方正仿宋简体" w:eastAsia="方正仿宋简体" w:hAnsiTheme="minorEastAsia" w:cs="方正仿宋简体"/>
                <w:b/>
                <w:iCs/>
              </w:rPr>
            </w:pPr>
          </w:p>
        </w:tc>
        <w:tc>
          <w:tcPr>
            <w:tcW w:w="999" w:type="pct"/>
            <w:vAlign w:val="center"/>
          </w:tcPr>
          <w:p w:rsidR="00094F82" w:rsidRDefault="00094F82" w:rsidP="00094F82">
            <w:pPr>
              <w:spacing w:line="28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证券从业日期</w:t>
            </w:r>
          </w:p>
        </w:tc>
        <w:tc>
          <w:tcPr>
            <w:tcW w:w="1443" w:type="pct"/>
            <w:vAlign w:val="center"/>
          </w:tcPr>
          <w:p w:rsidR="00094F82" w:rsidRDefault="004A52F2" w:rsidP="00094F82">
            <w:pPr>
              <w:spacing w:line="280" w:lineRule="exact"/>
              <w:rPr>
                <w:rFonts w:ascii="方正仿宋简体" w:eastAsia="方正仿宋简体" w:hAnsiTheme="minorEastAsia" w:cs="方正仿宋简体"/>
                <w:iCs/>
              </w:rPr>
            </w:pPr>
            <w:r w:rsidRPr="004A52F2">
              <w:rPr>
                <w:rFonts w:ascii="方正仿宋简体" w:eastAsia="方正仿宋简体" w:hAnsiTheme="minorEastAsia" w:cs="方正仿宋简体"/>
                <w:iCs/>
              </w:rPr>
              <w:t>2009-07-20</w:t>
            </w:r>
          </w:p>
        </w:tc>
      </w:tr>
    </w:tbl>
    <w:p w:rsidR="001369E1" w:rsidRDefault="001369E1" w:rsidP="005C5C71">
      <w:pPr>
        <w:numPr>
          <w:ilvl w:val="0"/>
          <w:numId w:val="10"/>
        </w:numPr>
        <w:spacing w:line="280" w:lineRule="exact"/>
        <w:outlineLvl w:val="0"/>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基金投资与净值表现</w:t>
      </w:r>
    </w:p>
    <w:p w:rsidR="001369E1" w:rsidRDefault="001369E1" w:rsidP="001369E1">
      <w:pPr>
        <w:pStyle w:val="a8"/>
        <w:numPr>
          <w:ilvl w:val="0"/>
          <w:numId w:val="27"/>
        </w:numPr>
        <w:spacing w:line="280" w:lineRule="exact"/>
        <w:ind w:firstLineChars="0"/>
        <w:outlineLvl w:val="1"/>
        <w:rPr>
          <w:rFonts w:ascii="方正仿宋简体" w:eastAsia="方正仿宋简体" w:hAnsiTheme="minorEastAsia" w:cs="方正仿宋简体"/>
          <w:b/>
          <w:iCs/>
          <w:sz w:val="24"/>
          <w:szCs w:val="24"/>
        </w:rPr>
      </w:pPr>
      <w:r>
        <w:rPr>
          <w:rFonts w:ascii="方正仿宋简体" w:eastAsia="方正仿宋简体" w:hAnsi="方正仿宋简体" w:cs="方正仿宋简体" w:hint="eastAsia"/>
          <w:b/>
          <w:iCs/>
          <w:sz w:val="24"/>
          <w:szCs w:val="24"/>
        </w:rPr>
        <w:t>投资目标与投资策略</w:t>
      </w:r>
    </w:p>
    <w:p w:rsidR="001369E1" w:rsidRPr="005C5C71" w:rsidRDefault="001369E1" w:rsidP="005C5C71">
      <w:pPr>
        <w:autoSpaceDE w:val="0"/>
        <w:autoSpaceDN w:val="0"/>
        <w:adjustRightInd w:val="0"/>
        <w:spacing w:line="280" w:lineRule="exact"/>
        <w:rPr>
          <w:rFonts w:ascii="方正仿宋简体" w:eastAsia="方正仿宋简体" w:hAnsiTheme="minorEastAsia" w:cs="仿宋_GB2312"/>
          <w:kern w:val="0"/>
          <w:szCs w:val="24"/>
        </w:rPr>
      </w:pPr>
      <w:r w:rsidRPr="005C5C71">
        <w:rPr>
          <w:rFonts w:ascii="方正仿宋简体" w:eastAsia="方正仿宋简体" w:hAnsiTheme="minorEastAsia" w:cs="仿宋_GB2312" w:hint="eastAsia"/>
          <w:kern w:val="0"/>
          <w:szCs w:val="24"/>
        </w:rPr>
        <w:t>投资者可阅读《招募说明书》第九章了解详细情况。</w:t>
      </w:r>
    </w:p>
    <w:tbl>
      <w:tblPr>
        <w:tblStyle w:val="a9"/>
        <w:tblW w:w="5000" w:type="pct"/>
        <w:tblBorders>
          <w:left w:val="none" w:sz="0" w:space="0" w:color="auto"/>
          <w:right w:val="none" w:sz="0" w:space="0" w:color="auto"/>
          <w:insideH w:val="dashSmallGap" w:sz="4" w:space="0" w:color="808080" w:themeColor="background1" w:themeShade="80"/>
          <w:insideV w:val="none" w:sz="0" w:space="0" w:color="auto"/>
        </w:tblBorders>
        <w:tblLook w:val="04A0"/>
      </w:tblPr>
      <w:tblGrid>
        <w:gridCol w:w="2093"/>
        <w:gridCol w:w="6429"/>
      </w:tblGrid>
      <w:tr w:rsidR="00225B28" w:rsidTr="0074096A">
        <w:trPr>
          <w:trHeight w:val="454"/>
        </w:trPr>
        <w:tc>
          <w:tcPr>
            <w:tcW w:w="1228" w:type="pct"/>
            <w:vAlign w:val="center"/>
          </w:tcPr>
          <w:p w:rsidR="00225B28" w:rsidRDefault="001F6C89">
            <w:pPr>
              <w:autoSpaceDE w:val="0"/>
              <w:autoSpaceDN w:val="0"/>
              <w:adjustRightInd w:val="0"/>
              <w:spacing w:line="280" w:lineRule="exact"/>
              <w:rPr>
                <w:rFonts w:ascii="方正仿宋简体" w:eastAsia="方正仿宋简体" w:hAnsiTheme="minorEastAsia" w:cs="仿宋_GB2312"/>
                <w:kern w:val="0"/>
                <w:sz w:val="22"/>
                <w:szCs w:val="24"/>
              </w:rPr>
            </w:pPr>
            <w:r>
              <w:rPr>
                <w:rFonts w:ascii="方正仿宋简体" w:eastAsia="方正仿宋简体" w:hAnsiTheme="minorEastAsia" w:cs="方正仿宋简体" w:hint="eastAsia"/>
                <w:b/>
                <w:bCs/>
                <w:iCs/>
                <w:szCs w:val="24"/>
              </w:rPr>
              <w:t>投资目标</w:t>
            </w:r>
          </w:p>
        </w:tc>
        <w:tc>
          <w:tcPr>
            <w:tcW w:w="3772" w:type="pct"/>
            <w:vAlign w:val="center"/>
          </w:tcPr>
          <w:p w:rsidR="00225B28" w:rsidRDefault="00C27AB5">
            <w:pPr>
              <w:autoSpaceDE w:val="0"/>
              <w:autoSpaceDN w:val="0"/>
              <w:adjustRightInd w:val="0"/>
              <w:spacing w:line="28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本基金在有效控制风险，追求本金安全的基础上，力争通过积极主动的投资管理，为基金份额持有人提供较高的当期收益以及长期稳定的投资回报。</w:t>
            </w:r>
          </w:p>
        </w:tc>
      </w:tr>
      <w:tr w:rsidR="00225B28" w:rsidTr="0074096A">
        <w:trPr>
          <w:trHeight w:val="454"/>
        </w:trPr>
        <w:tc>
          <w:tcPr>
            <w:tcW w:w="1228" w:type="pct"/>
            <w:vAlign w:val="center"/>
          </w:tcPr>
          <w:p w:rsidR="00225B28" w:rsidRDefault="001F6C89">
            <w:pPr>
              <w:autoSpaceDE w:val="0"/>
              <w:autoSpaceDN w:val="0"/>
              <w:adjustRightInd w:val="0"/>
              <w:spacing w:line="280" w:lineRule="exact"/>
              <w:rPr>
                <w:rFonts w:ascii="方正仿宋简体" w:eastAsia="方正仿宋简体" w:hAnsiTheme="minorEastAsia" w:cs="仿宋_GB2312"/>
                <w:kern w:val="0"/>
                <w:sz w:val="22"/>
                <w:szCs w:val="24"/>
              </w:rPr>
            </w:pPr>
            <w:r>
              <w:rPr>
                <w:rFonts w:ascii="方正仿宋简体" w:eastAsia="方正仿宋简体" w:hAnsiTheme="minorEastAsia" w:cs="方正仿宋简体" w:hint="eastAsia"/>
                <w:b/>
                <w:bCs/>
                <w:iCs/>
                <w:szCs w:val="24"/>
              </w:rPr>
              <w:t>投资范围</w:t>
            </w:r>
          </w:p>
        </w:tc>
        <w:tc>
          <w:tcPr>
            <w:tcW w:w="3772" w:type="pct"/>
            <w:vAlign w:val="center"/>
          </w:tcPr>
          <w:p w:rsidR="004157C8" w:rsidRPr="004157C8" w:rsidRDefault="004157C8" w:rsidP="004157C8">
            <w:pPr>
              <w:autoSpaceDE w:val="0"/>
              <w:autoSpaceDN w:val="0"/>
              <w:adjustRightInd w:val="0"/>
              <w:spacing w:line="280" w:lineRule="exact"/>
              <w:rPr>
                <w:rFonts w:ascii="方正仿宋简体" w:eastAsia="方正仿宋简体" w:hAnsiTheme="minorEastAsia" w:cs="仿宋_GB2312"/>
                <w:kern w:val="0"/>
                <w:szCs w:val="24"/>
              </w:rPr>
            </w:pPr>
            <w:r w:rsidRPr="004157C8">
              <w:rPr>
                <w:rFonts w:ascii="方正仿宋简体" w:eastAsia="方正仿宋简体" w:hAnsiTheme="minorEastAsia" w:cs="仿宋_GB2312" w:hint="eastAsia"/>
                <w:kern w:val="0"/>
                <w:szCs w:val="24"/>
              </w:rPr>
              <w:t>本基金的投资范围为具有良好流动性的金融工具，包括国内依法发行上市的股票（包括中小板、创业板及其他经中国证监会核准上市的股票</w:t>
            </w:r>
            <w:r w:rsidR="006955BB" w:rsidRPr="006955BB">
              <w:rPr>
                <w:rFonts w:ascii="方正仿宋简体" w:eastAsia="方正仿宋简体" w:hAnsiTheme="minorEastAsia" w:cs="仿宋_GB2312" w:hint="eastAsia"/>
                <w:kern w:val="0"/>
                <w:szCs w:val="24"/>
              </w:rPr>
              <w:t>、存托凭证</w:t>
            </w:r>
            <w:r w:rsidRPr="004157C8">
              <w:rPr>
                <w:rFonts w:ascii="方正仿宋简体" w:eastAsia="方正仿宋简体" w:hAnsiTheme="minorEastAsia" w:cs="仿宋_GB2312" w:hint="eastAsia"/>
                <w:kern w:val="0"/>
                <w:szCs w:val="24"/>
              </w:rPr>
              <w:t>）、债券、货币市场工具、权证以及法律法规或中国证监会允许基金投资的其他金融工具（但须符合中国证监会相关规定）。</w:t>
            </w:r>
          </w:p>
          <w:p w:rsidR="004157C8" w:rsidRPr="004157C8" w:rsidRDefault="004157C8" w:rsidP="004157C8">
            <w:pPr>
              <w:autoSpaceDE w:val="0"/>
              <w:autoSpaceDN w:val="0"/>
              <w:adjustRightInd w:val="0"/>
              <w:spacing w:line="280" w:lineRule="exact"/>
              <w:rPr>
                <w:rFonts w:ascii="方正仿宋简体" w:eastAsia="方正仿宋简体" w:hAnsiTheme="minorEastAsia" w:cs="仿宋_GB2312"/>
                <w:kern w:val="0"/>
                <w:szCs w:val="24"/>
              </w:rPr>
            </w:pPr>
            <w:r w:rsidRPr="004157C8">
              <w:rPr>
                <w:rFonts w:ascii="方正仿宋简体" w:eastAsia="方正仿宋简体" w:hAnsiTheme="minorEastAsia" w:cs="仿宋_GB2312" w:hint="eastAsia"/>
                <w:kern w:val="0"/>
                <w:szCs w:val="24"/>
              </w:rPr>
              <w:t>本基金主要投资于国内依法发行上市的国家债券、金融债券、次级债券、中央银行票据、企业债券、中小企业私募债券、公司债券、中期票据、短期融资券、质押及买断式回购、资产支持证券、可转换债券（含分离交易可转债）、可交换债券以及协议存款、通知存款、定期存款等法律法规或中国证监会允许基金投资的金融工具（但须符合中国证监会的相关规定）。</w:t>
            </w:r>
          </w:p>
          <w:p w:rsidR="004157C8" w:rsidRPr="004157C8" w:rsidRDefault="004157C8" w:rsidP="004157C8">
            <w:pPr>
              <w:autoSpaceDE w:val="0"/>
              <w:autoSpaceDN w:val="0"/>
              <w:adjustRightInd w:val="0"/>
              <w:spacing w:line="280" w:lineRule="exact"/>
              <w:rPr>
                <w:rFonts w:ascii="方正仿宋简体" w:eastAsia="方正仿宋简体" w:hAnsiTheme="minorEastAsia" w:cs="仿宋_GB2312"/>
                <w:kern w:val="0"/>
                <w:szCs w:val="24"/>
              </w:rPr>
            </w:pPr>
            <w:r w:rsidRPr="004157C8">
              <w:rPr>
                <w:rFonts w:ascii="方正仿宋简体" w:eastAsia="方正仿宋简体" w:hAnsiTheme="minorEastAsia" w:cs="仿宋_GB2312" w:hint="eastAsia"/>
                <w:kern w:val="0"/>
                <w:szCs w:val="24"/>
              </w:rPr>
              <w:t>如法律法规或监管机构以后允许基金投资其他品种，基金管理人在履行适当程序后，可以将其纳入投资范围。</w:t>
            </w:r>
          </w:p>
          <w:p w:rsidR="00225B28" w:rsidRDefault="004157C8" w:rsidP="004157C8">
            <w:pPr>
              <w:autoSpaceDE w:val="0"/>
              <w:autoSpaceDN w:val="0"/>
              <w:adjustRightInd w:val="0"/>
              <w:spacing w:line="280" w:lineRule="exact"/>
              <w:rPr>
                <w:rFonts w:ascii="方正仿宋简体" w:eastAsia="方正仿宋简体" w:hAnsiTheme="minorEastAsia" w:cs="仿宋_GB2312"/>
                <w:kern w:val="0"/>
                <w:szCs w:val="24"/>
              </w:rPr>
            </w:pPr>
            <w:r w:rsidRPr="004157C8">
              <w:rPr>
                <w:rFonts w:ascii="方正仿宋简体" w:eastAsia="方正仿宋简体" w:hAnsiTheme="minorEastAsia" w:cs="仿宋_GB2312" w:hint="eastAsia"/>
                <w:kern w:val="0"/>
                <w:szCs w:val="24"/>
              </w:rPr>
              <w:t>基金的投资组合比例为：本基金债券资产的投资比例不低于基金资产的80%；基金持有的现金或到期日在1年以内的政府债券不低于基金资产净值的5%，其中现金不包括结算备付金、存出保证金、应收申购款等。</w:t>
            </w:r>
          </w:p>
        </w:tc>
      </w:tr>
      <w:tr w:rsidR="00C27AB5" w:rsidTr="0074096A">
        <w:trPr>
          <w:trHeight w:val="454"/>
        </w:trPr>
        <w:tc>
          <w:tcPr>
            <w:tcW w:w="1228" w:type="pct"/>
            <w:vAlign w:val="center"/>
          </w:tcPr>
          <w:p w:rsidR="00C27AB5" w:rsidRDefault="00C27AB5" w:rsidP="00C27AB5">
            <w:pPr>
              <w:autoSpaceDE w:val="0"/>
              <w:autoSpaceDN w:val="0"/>
              <w:adjustRightInd w:val="0"/>
              <w:spacing w:line="280" w:lineRule="exact"/>
              <w:rPr>
                <w:rFonts w:ascii="方正仿宋简体" w:eastAsia="方正仿宋简体" w:hAnsiTheme="minorEastAsia" w:cs="仿宋_GB2312"/>
                <w:kern w:val="0"/>
                <w:sz w:val="22"/>
                <w:szCs w:val="24"/>
              </w:rPr>
            </w:pPr>
            <w:r>
              <w:rPr>
                <w:rFonts w:ascii="方正仿宋简体" w:eastAsia="方正仿宋简体" w:hAnsiTheme="minorEastAsia" w:cs="方正仿宋简体" w:hint="eastAsia"/>
                <w:b/>
                <w:bCs/>
                <w:iCs/>
                <w:szCs w:val="24"/>
              </w:rPr>
              <w:t>主要投资策略</w:t>
            </w:r>
          </w:p>
        </w:tc>
        <w:tc>
          <w:tcPr>
            <w:tcW w:w="3772" w:type="pct"/>
            <w:vAlign w:val="center"/>
          </w:tcPr>
          <w:p w:rsidR="00C27AB5" w:rsidRDefault="00C27AB5" w:rsidP="00C27AB5">
            <w:pPr>
              <w:autoSpaceDE w:val="0"/>
              <w:autoSpaceDN w:val="0"/>
              <w:adjustRightInd w:val="0"/>
              <w:spacing w:line="28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本基金的投资策略主要包括：大类资产配置策略、固定收益类资产投资策略以及权益类资产投资策略。首先，本基金管理人将采用战略性与战术性相结合的大类资产配置策略，在基金合同规定的投资比例范</w:t>
            </w:r>
            <w:r>
              <w:rPr>
                <w:rFonts w:ascii="方正仿宋简体" w:eastAsia="方正仿宋简体" w:hAnsiTheme="minorEastAsia" w:cs="仿宋_GB2312" w:hint="eastAsia"/>
                <w:kern w:val="0"/>
                <w:szCs w:val="24"/>
              </w:rPr>
              <w:lastRenderedPageBreak/>
              <w:t>围内确定各大类资产的配置比例。在此基础之上，一方面综合运用久期策略、收益率曲线策略以及信用策略进行固定收益类资产投资组合的构建；另一方面采用自下而上的个股精选策略，精选具有持续成长性且估值相对合理，同时股价具有趋势向上的股票构建权益类资产投资组合，以提高基金的整体收益水平。</w:t>
            </w:r>
          </w:p>
        </w:tc>
      </w:tr>
      <w:tr w:rsidR="00C27AB5" w:rsidTr="0074096A">
        <w:trPr>
          <w:trHeight w:val="454"/>
        </w:trPr>
        <w:tc>
          <w:tcPr>
            <w:tcW w:w="1228" w:type="pct"/>
            <w:vAlign w:val="center"/>
          </w:tcPr>
          <w:p w:rsidR="00C27AB5" w:rsidRDefault="00C27AB5" w:rsidP="00C27AB5">
            <w:pPr>
              <w:autoSpaceDE w:val="0"/>
              <w:autoSpaceDN w:val="0"/>
              <w:adjustRightInd w:val="0"/>
              <w:spacing w:line="280" w:lineRule="exact"/>
              <w:rPr>
                <w:rFonts w:ascii="方正仿宋简体" w:eastAsia="方正仿宋简体" w:hAnsiTheme="minorEastAsia" w:cs="仿宋_GB2312"/>
                <w:kern w:val="0"/>
                <w:sz w:val="22"/>
                <w:szCs w:val="24"/>
              </w:rPr>
            </w:pPr>
            <w:r>
              <w:rPr>
                <w:rFonts w:ascii="方正仿宋简体" w:eastAsia="方正仿宋简体" w:hAnsiTheme="minorEastAsia" w:cs="方正仿宋简体" w:hint="eastAsia"/>
                <w:b/>
                <w:bCs/>
                <w:iCs/>
                <w:szCs w:val="24"/>
              </w:rPr>
              <w:lastRenderedPageBreak/>
              <w:t>业绩比较基准</w:t>
            </w:r>
          </w:p>
        </w:tc>
        <w:tc>
          <w:tcPr>
            <w:tcW w:w="3772" w:type="pct"/>
            <w:vAlign w:val="center"/>
          </w:tcPr>
          <w:p w:rsidR="00C27AB5" w:rsidRDefault="00C27AB5" w:rsidP="00C27AB5">
            <w:pPr>
              <w:autoSpaceDE w:val="0"/>
              <w:autoSpaceDN w:val="0"/>
              <w:adjustRightInd w:val="0"/>
              <w:spacing w:line="28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中债企业债总全价指数收益率×60%+中债国债总全价指数收益率×30%+沪深300指数收益率×10%</w:t>
            </w:r>
          </w:p>
        </w:tc>
      </w:tr>
      <w:tr w:rsidR="00C27AB5" w:rsidTr="0074096A">
        <w:trPr>
          <w:trHeight w:val="454"/>
        </w:trPr>
        <w:tc>
          <w:tcPr>
            <w:tcW w:w="1228" w:type="pct"/>
            <w:vAlign w:val="center"/>
          </w:tcPr>
          <w:p w:rsidR="00C27AB5" w:rsidRDefault="00C27AB5" w:rsidP="00C27AB5">
            <w:pPr>
              <w:autoSpaceDE w:val="0"/>
              <w:autoSpaceDN w:val="0"/>
              <w:adjustRightInd w:val="0"/>
              <w:spacing w:line="280" w:lineRule="exact"/>
              <w:rPr>
                <w:rFonts w:ascii="方正仿宋简体" w:eastAsia="方正仿宋简体" w:hAnsiTheme="minorEastAsia" w:cs="仿宋_GB2312"/>
                <w:kern w:val="0"/>
                <w:sz w:val="22"/>
                <w:szCs w:val="24"/>
              </w:rPr>
            </w:pPr>
            <w:r>
              <w:rPr>
                <w:rFonts w:ascii="方正仿宋简体" w:eastAsia="方正仿宋简体" w:hAnsiTheme="minorEastAsia" w:cs="方正仿宋简体" w:hint="eastAsia"/>
                <w:b/>
                <w:bCs/>
                <w:iCs/>
                <w:szCs w:val="24"/>
              </w:rPr>
              <w:t>风险收益特征</w:t>
            </w:r>
          </w:p>
        </w:tc>
        <w:tc>
          <w:tcPr>
            <w:tcW w:w="3772" w:type="pct"/>
            <w:vAlign w:val="center"/>
          </w:tcPr>
          <w:p w:rsidR="00C27AB5" w:rsidRDefault="00C27AB5" w:rsidP="00C27AB5">
            <w:pPr>
              <w:autoSpaceDE w:val="0"/>
              <w:autoSpaceDN w:val="0"/>
              <w:adjustRightInd w:val="0"/>
              <w:spacing w:line="28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本基金为债券型基金，其长期平均预期风险和预期收益率低于混合型基金、股票型基金，高于货币市场基金。</w:t>
            </w:r>
          </w:p>
        </w:tc>
      </w:tr>
    </w:tbl>
    <w:p w:rsidR="00221357" w:rsidRDefault="00221357" w:rsidP="00221357">
      <w:pPr>
        <w:spacing w:line="280" w:lineRule="exact"/>
        <w:rPr>
          <w:rFonts w:ascii="方正仿宋简体" w:eastAsia="方正仿宋简体" w:hAnsiTheme="minorEastAsia" w:cs="仿宋_GB2312"/>
          <w:kern w:val="0"/>
          <w:szCs w:val="24"/>
        </w:rPr>
      </w:pPr>
    </w:p>
    <w:p w:rsidR="00221357" w:rsidRDefault="00221357" w:rsidP="00221357">
      <w:pPr>
        <w:pStyle w:val="a8"/>
        <w:numPr>
          <w:ilvl w:val="0"/>
          <w:numId w:val="15"/>
        </w:numPr>
        <w:spacing w:line="280" w:lineRule="exact"/>
        <w:ind w:firstLineChars="0"/>
        <w:outlineLvl w:val="1"/>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投资组合资产配置图表/区域配置图表</w:t>
      </w:r>
    </w:p>
    <w:p w:rsidR="00221357" w:rsidRDefault="00221357" w:rsidP="00221357">
      <w:pPr>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投资组合资产配置图表</w:t>
      </w:r>
    </w:p>
    <w:p w:rsidR="00221357" w:rsidRDefault="00221357" w:rsidP="00221357">
      <w:pPr>
        <w:rPr>
          <w:rFonts w:ascii="方正仿宋简体" w:eastAsia="方正仿宋简体" w:hAnsi="方正仿宋简体" w:cs="方正仿宋简体"/>
          <w:b/>
          <w:iCs/>
          <w:sz w:val="24"/>
          <w:szCs w:val="24"/>
        </w:rPr>
      </w:pPr>
      <w:r w:rsidRPr="005C5C71">
        <w:rPr>
          <w:rFonts w:ascii="方正仿宋简体" w:eastAsia="方正仿宋简体" w:hAnsi="方正仿宋简体" w:cs="方正仿宋简体"/>
          <w:b/>
          <w:iCs/>
          <w:noProof/>
          <w:sz w:val="24"/>
          <w:szCs w:val="24"/>
        </w:rPr>
        <w:drawing>
          <wp:inline distT="0" distB="0" distL="0" distR="0">
            <wp:extent cx="5274310" cy="3076575"/>
            <wp:effectExtent l="38100" t="0" r="21590" b="9525"/>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21357" w:rsidRDefault="00221357" w:rsidP="00221357">
      <w:pPr>
        <w:pStyle w:val="a8"/>
        <w:numPr>
          <w:ilvl w:val="0"/>
          <w:numId w:val="15"/>
        </w:numPr>
        <w:spacing w:line="280" w:lineRule="exact"/>
        <w:ind w:firstLineChars="0"/>
        <w:outlineLvl w:val="1"/>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自基金合同生效以来基金每年的净值增长率及与同期业绩比较基准的比较图</w:t>
      </w:r>
    </w:p>
    <w:p w:rsidR="00221357" w:rsidRDefault="00221357" w:rsidP="00221357">
      <w:pPr>
        <w:jc w:val="left"/>
        <w:rPr>
          <w:rFonts w:ascii="方正仿宋简体" w:eastAsia="方正仿宋简体" w:hAnsiTheme="minorEastAsia"/>
          <w:sz w:val="18"/>
        </w:rPr>
      </w:pPr>
      <w:r w:rsidRPr="005C5C71">
        <w:rPr>
          <w:rFonts w:ascii="方正仿宋简体" w:eastAsia="方正仿宋简体" w:hAnsiTheme="minorEastAsia"/>
          <w:noProof/>
          <w:sz w:val="24"/>
        </w:rPr>
        <w:lastRenderedPageBreak/>
        <w:drawing>
          <wp:inline distT="0" distB="0" distL="0" distR="0">
            <wp:extent cx="5274310" cy="3076575"/>
            <wp:effectExtent l="0" t="0" r="21590" b="9525"/>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21357" w:rsidRDefault="00221357" w:rsidP="00221357">
      <w:pPr>
        <w:spacing w:line="280" w:lineRule="exact"/>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注：1、本基金于2015年1月16日成立，合同生效当年按实际存续期计算，不按整个自然年度进行折算。 </w:t>
      </w:r>
    </w:p>
    <w:p w:rsidR="00221357" w:rsidRPr="00424A6E" w:rsidRDefault="00221357" w:rsidP="00221357">
      <w:pPr>
        <w:spacing w:line="280" w:lineRule="exact"/>
        <w:rPr>
          <w:rFonts w:ascii="微软雅黑" w:eastAsia="微软雅黑" w:hAnsi="微软雅黑" w:cs="微软雅黑"/>
          <w:color w:val="999999"/>
          <w:kern w:val="0"/>
          <w:sz w:val="18"/>
          <w:szCs w:val="18"/>
          <w:lang w:val="zh-CN"/>
        </w:rPr>
      </w:pPr>
      <w:r>
        <w:rPr>
          <w:rFonts w:ascii="方正仿宋简体" w:eastAsia="方正仿宋简体" w:hAnsi="方正仿宋简体" w:cs="方正仿宋简体" w:hint="eastAsia"/>
          <w:iCs/>
        </w:rPr>
        <w:t xml:space="preserve">    2、基金的过往业绩不代表未来表现。</w:t>
      </w:r>
    </w:p>
    <w:p w:rsidR="00225B28" w:rsidRDefault="00225B28">
      <w:pPr>
        <w:spacing w:line="340" w:lineRule="exact"/>
        <w:rPr>
          <w:rFonts w:ascii="方正仿宋简体" w:eastAsia="方正仿宋简体" w:hAnsi="方正仿宋简体" w:cs="方正仿宋简体"/>
          <w:b/>
          <w:iCs/>
          <w:szCs w:val="24"/>
        </w:rPr>
      </w:pPr>
    </w:p>
    <w:p w:rsidR="00225B28" w:rsidRDefault="001F6C89">
      <w:pPr>
        <w:numPr>
          <w:ilvl w:val="0"/>
          <w:numId w:val="10"/>
        </w:numPr>
        <w:spacing w:line="280" w:lineRule="exact"/>
        <w:outlineLvl w:val="0"/>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投资本基金涉及的费用</w:t>
      </w:r>
    </w:p>
    <w:p w:rsidR="00225B28" w:rsidRDefault="001F6C89">
      <w:pPr>
        <w:spacing w:line="340" w:lineRule="exact"/>
        <w:outlineLvl w:val="1"/>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（一）基金销售相关费用</w:t>
      </w:r>
    </w:p>
    <w:p w:rsidR="00225B28" w:rsidRDefault="001F6C89">
      <w:pPr>
        <w:spacing w:line="280" w:lineRule="exact"/>
        <w:rPr>
          <w:rFonts w:ascii="方正仿宋简体" w:eastAsia="方正仿宋简体" w:hAnsi="方正仿宋简体" w:cs="方正仿宋简体"/>
          <w:iCs/>
        </w:rPr>
      </w:pPr>
      <w:r>
        <w:rPr>
          <w:rFonts w:ascii="方正仿宋简体" w:eastAsia="方正仿宋简体" w:hAnsi="方正仿宋简体" w:cs="方正仿宋简体" w:hint="eastAsia"/>
          <w:iCs/>
        </w:rPr>
        <w:t>以下费用在认购/申购/赎回基金过程中收取：</w:t>
      </w:r>
    </w:p>
    <w:tbl>
      <w:tblPr>
        <w:tblW w:w="5000" w:type="pct"/>
        <w:tblBorders>
          <w:top w:val="single" w:sz="4" w:space="0" w:color="000000"/>
          <w:bottom w:val="single" w:sz="4" w:space="0" w:color="000000"/>
          <w:insideH w:val="dashSmallGap" w:sz="4" w:space="0" w:color="808080" w:themeColor="background1" w:themeShade="80"/>
        </w:tblBorders>
        <w:tblLook w:val="0000"/>
      </w:tblPr>
      <w:tblGrid>
        <w:gridCol w:w="2518"/>
        <w:gridCol w:w="3163"/>
        <w:gridCol w:w="1984"/>
        <w:gridCol w:w="857"/>
      </w:tblGrid>
      <w:tr w:rsidR="00225B28" w:rsidTr="007A55B5">
        <w:trPr>
          <w:trHeight w:val="454"/>
        </w:trPr>
        <w:tc>
          <w:tcPr>
            <w:tcW w:w="1477" w:type="pct"/>
            <w:vAlign w:val="center"/>
          </w:tcPr>
          <w:p w:rsidR="00225B28" w:rsidRDefault="001F6C89">
            <w:pPr>
              <w:spacing w:line="28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费用类型</w:t>
            </w:r>
          </w:p>
        </w:tc>
        <w:tc>
          <w:tcPr>
            <w:tcW w:w="1856" w:type="pct"/>
            <w:vAlign w:val="center"/>
          </w:tcPr>
          <w:p w:rsidR="00225B28" w:rsidRDefault="001F6C89">
            <w:pPr>
              <w:spacing w:line="28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份额（S）或金额（M）</w:t>
            </w:r>
          </w:p>
          <w:p w:rsidR="00225B28" w:rsidRDefault="001F6C89">
            <w:pPr>
              <w:spacing w:line="28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/持有期限（N）</w:t>
            </w:r>
          </w:p>
        </w:tc>
        <w:tc>
          <w:tcPr>
            <w:tcW w:w="1164" w:type="pct"/>
            <w:vAlign w:val="center"/>
          </w:tcPr>
          <w:p w:rsidR="00225B28" w:rsidRDefault="001F6C89">
            <w:pPr>
              <w:spacing w:line="28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收费方式/费率</w:t>
            </w:r>
          </w:p>
        </w:tc>
        <w:tc>
          <w:tcPr>
            <w:tcW w:w="503" w:type="pct"/>
            <w:vAlign w:val="center"/>
          </w:tcPr>
          <w:p w:rsidR="00225B28" w:rsidRDefault="001F6C89">
            <w:pPr>
              <w:spacing w:line="28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备注</w:t>
            </w:r>
          </w:p>
        </w:tc>
      </w:tr>
      <w:tr w:rsidR="005C5C71" w:rsidTr="005C5C71">
        <w:trPr>
          <w:trHeight w:val="454"/>
        </w:trPr>
        <w:tc>
          <w:tcPr>
            <w:tcW w:w="1477" w:type="pct"/>
            <w:vMerge w:val="restart"/>
            <w:vAlign w:val="center"/>
          </w:tcPr>
          <w:p w:rsidR="005C5C71" w:rsidRDefault="005C5C71">
            <w:pPr>
              <w:spacing w:line="28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申购费（前收费）</w:t>
            </w:r>
          </w:p>
          <w:p w:rsidR="005C5C71" w:rsidRDefault="005C5C71" w:rsidP="00D422BF">
            <w:pPr>
              <w:spacing w:line="280" w:lineRule="exact"/>
              <w:jc w:val="center"/>
              <w:rPr>
                <w:rFonts w:ascii="方正仿宋简体" w:eastAsia="方正仿宋简体" w:hAnsi="方正仿宋简体" w:cs="方正仿宋简体"/>
                <w:b/>
                <w:bCs/>
                <w:iCs/>
              </w:rPr>
            </w:pPr>
          </w:p>
        </w:tc>
        <w:tc>
          <w:tcPr>
            <w:tcW w:w="1856" w:type="pct"/>
            <w:vAlign w:val="center"/>
          </w:tcPr>
          <w:p w:rsidR="005C5C71" w:rsidRDefault="005C5C71">
            <w:pPr>
              <w:spacing w:line="280" w:lineRule="exact"/>
              <w:jc w:val="center"/>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  M &lt; 100万元</w:t>
            </w:r>
          </w:p>
        </w:tc>
        <w:tc>
          <w:tcPr>
            <w:tcW w:w="1164" w:type="pct"/>
            <w:vAlign w:val="center"/>
          </w:tcPr>
          <w:p w:rsidR="005C5C71" w:rsidRDefault="005C5C71">
            <w:pPr>
              <w:spacing w:line="280" w:lineRule="exact"/>
              <w:jc w:val="center"/>
              <w:rPr>
                <w:rFonts w:ascii="方正仿宋简体" w:eastAsia="方正仿宋简体" w:hAnsi="宋体"/>
                <w:color w:val="000000" w:themeColor="text1"/>
                <w:kern w:val="0"/>
              </w:rPr>
            </w:pPr>
            <w:r>
              <w:rPr>
                <w:rFonts w:ascii="方正仿宋简体" w:eastAsia="方正仿宋简体" w:hAnsi="宋体" w:hint="eastAsia"/>
                <w:color w:val="000000" w:themeColor="text1"/>
                <w:kern w:val="0"/>
              </w:rPr>
              <w:t xml:space="preserve">0.80%  </w:t>
            </w:r>
          </w:p>
        </w:tc>
        <w:tc>
          <w:tcPr>
            <w:tcW w:w="503" w:type="pct"/>
            <w:vAlign w:val="center"/>
          </w:tcPr>
          <w:p w:rsidR="005C5C71" w:rsidRDefault="005C5C71">
            <w:pPr>
              <w:spacing w:line="280" w:lineRule="exact"/>
              <w:jc w:val="center"/>
              <w:rPr>
                <w:rFonts w:ascii="方正仿宋简体" w:eastAsia="方正仿宋简体" w:hAnsi="宋体"/>
                <w:color w:val="0000FF"/>
                <w:kern w:val="0"/>
              </w:rPr>
            </w:pPr>
          </w:p>
        </w:tc>
      </w:tr>
      <w:tr w:rsidR="005C5C71" w:rsidTr="005C5C71">
        <w:trPr>
          <w:trHeight w:val="454"/>
        </w:trPr>
        <w:tc>
          <w:tcPr>
            <w:tcW w:w="1477" w:type="pct"/>
            <w:vMerge/>
            <w:vAlign w:val="center"/>
          </w:tcPr>
          <w:p w:rsidR="005C5C71" w:rsidRDefault="005C5C71" w:rsidP="00D422BF">
            <w:pPr>
              <w:spacing w:line="280" w:lineRule="exact"/>
              <w:jc w:val="center"/>
              <w:rPr>
                <w:rFonts w:ascii="方正仿宋简体" w:eastAsia="方正仿宋简体" w:hAnsi="方正仿宋简体" w:cs="方正仿宋简体"/>
                <w:b/>
                <w:bCs/>
                <w:iCs/>
              </w:rPr>
            </w:pPr>
          </w:p>
        </w:tc>
        <w:tc>
          <w:tcPr>
            <w:tcW w:w="1856" w:type="pct"/>
            <w:vAlign w:val="center"/>
          </w:tcPr>
          <w:p w:rsidR="005C5C71" w:rsidRDefault="005C5C71">
            <w:pPr>
              <w:spacing w:line="280" w:lineRule="exact"/>
              <w:jc w:val="center"/>
              <w:rPr>
                <w:rFonts w:ascii="方正仿宋简体" w:eastAsia="方正仿宋简体" w:hAnsi="方正仿宋简体" w:cs="方正仿宋简体"/>
                <w:iCs/>
              </w:rPr>
            </w:pPr>
            <w:r>
              <w:rPr>
                <w:rFonts w:ascii="方正仿宋简体" w:eastAsia="方正仿宋简体" w:hAnsi="方正仿宋简体" w:cs="方正仿宋简体" w:hint="eastAsia"/>
                <w:iCs/>
              </w:rPr>
              <w:t>100万元 ≤ M &lt; 200万元</w:t>
            </w:r>
          </w:p>
        </w:tc>
        <w:tc>
          <w:tcPr>
            <w:tcW w:w="1164" w:type="pct"/>
            <w:vAlign w:val="center"/>
          </w:tcPr>
          <w:p w:rsidR="005C5C71" w:rsidRDefault="005C5C71">
            <w:pPr>
              <w:spacing w:line="280" w:lineRule="exact"/>
              <w:jc w:val="center"/>
              <w:rPr>
                <w:rFonts w:ascii="方正仿宋简体" w:eastAsia="方正仿宋简体" w:hAnsi="宋体"/>
                <w:color w:val="000000" w:themeColor="text1"/>
                <w:kern w:val="0"/>
              </w:rPr>
            </w:pPr>
            <w:r>
              <w:rPr>
                <w:rFonts w:ascii="方正仿宋简体" w:eastAsia="方正仿宋简体" w:hAnsi="宋体" w:hint="eastAsia"/>
                <w:color w:val="000000" w:themeColor="text1"/>
                <w:kern w:val="0"/>
              </w:rPr>
              <w:t xml:space="preserve">0.50%  </w:t>
            </w:r>
          </w:p>
        </w:tc>
        <w:tc>
          <w:tcPr>
            <w:tcW w:w="503" w:type="pct"/>
            <w:vAlign w:val="center"/>
          </w:tcPr>
          <w:p w:rsidR="005C5C71" w:rsidRDefault="005C5C71">
            <w:pPr>
              <w:spacing w:line="280" w:lineRule="exact"/>
              <w:jc w:val="center"/>
              <w:rPr>
                <w:rFonts w:ascii="方正仿宋简体" w:eastAsia="方正仿宋简体" w:hAnsi="宋体"/>
                <w:color w:val="0000FF"/>
                <w:kern w:val="0"/>
              </w:rPr>
            </w:pPr>
          </w:p>
        </w:tc>
      </w:tr>
      <w:tr w:rsidR="005C5C71" w:rsidTr="005C5C71">
        <w:trPr>
          <w:trHeight w:val="454"/>
        </w:trPr>
        <w:tc>
          <w:tcPr>
            <w:tcW w:w="1477" w:type="pct"/>
            <w:vMerge/>
            <w:vAlign w:val="center"/>
          </w:tcPr>
          <w:p w:rsidR="005C5C71" w:rsidRDefault="005C5C71" w:rsidP="00D422BF">
            <w:pPr>
              <w:spacing w:line="280" w:lineRule="exact"/>
              <w:jc w:val="center"/>
              <w:rPr>
                <w:rFonts w:ascii="方正仿宋简体" w:eastAsia="方正仿宋简体" w:hAnsi="方正仿宋简体" w:cs="方正仿宋简体"/>
                <w:b/>
                <w:bCs/>
                <w:iCs/>
              </w:rPr>
            </w:pPr>
          </w:p>
        </w:tc>
        <w:tc>
          <w:tcPr>
            <w:tcW w:w="1856" w:type="pct"/>
            <w:vAlign w:val="center"/>
          </w:tcPr>
          <w:p w:rsidR="005C5C71" w:rsidRDefault="005C5C71">
            <w:pPr>
              <w:spacing w:line="280" w:lineRule="exact"/>
              <w:jc w:val="center"/>
              <w:rPr>
                <w:rFonts w:ascii="方正仿宋简体" w:eastAsia="方正仿宋简体" w:hAnsi="方正仿宋简体" w:cs="方正仿宋简体"/>
                <w:iCs/>
              </w:rPr>
            </w:pPr>
            <w:r>
              <w:rPr>
                <w:rFonts w:ascii="方正仿宋简体" w:eastAsia="方正仿宋简体" w:hAnsi="方正仿宋简体" w:cs="方正仿宋简体" w:hint="eastAsia"/>
                <w:iCs/>
              </w:rPr>
              <w:t>200万元 ≤ M &lt; 500万元</w:t>
            </w:r>
          </w:p>
        </w:tc>
        <w:tc>
          <w:tcPr>
            <w:tcW w:w="1164" w:type="pct"/>
            <w:vAlign w:val="center"/>
          </w:tcPr>
          <w:p w:rsidR="005C5C71" w:rsidRDefault="005C5C71">
            <w:pPr>
              <w:spacing w:line="280" w:lineRule="exact"/>
              <w:jc w:val="center"/>
              <w:rPr>
                <w:rFonts w:ascii="方正仿宋简体" w:eastAsia="方正仿宋简体" w:hAnsi="宋体"/>
                <w:color w:val="000000" w:themeColor="text1"/>
                <w:kern w:val="0"/>
              </w:rPr>
            </w:pPr>
            <w:r>
              <w:rPr>
                <w:rFonts w:ascii="方正仿宋简体" w:eastAsia="方正仿宋简体" w:hAnsi="宋体" w:hint="eastAsia"/>
                <w:color w:val="000000" w:themeColor="text1"/>
                <w:kern w:val="0"/>
              </w:rPr>
              <w:t xml:space="preserve">0.30%  </w:t>
            </w:r>
          </w:p>
        </w:tc>
        <w:tc>
          <w:tcPr>
            <w:tcW w:w="503" w:type="pct"/>
            <w:vAlign w:val="center"/>
          </w:tcPr>
          <w:p w:rsidR="005C5C71" w:rsidRDefault="005C5C71">
            <w:pPr>
              <w:spacing w:line="280" w:lineRule="exact"/>
              <w:jc w:val="center"/>
              <w:rPr>
                <w:rFonts w:ascii="方正仿宋简体" w:eastAsia="方正仿宋简体" w:hAnsi="宋体"/>
                <w:color w:val="0000FF"/>
                <w:kern w:val="0"/>
              </w:rPr>
            </w:pPr>
          </w:p>
        </w:tc>
      </w:tr>
      <w:tr w:rsidR="005C5C71" w:rsidTr="00D422BF">
        <w:trPr>
          <w:trHeight w:val="454"/>
        </w:trPr>
        <w:tc>
          <w:tcPr>
            <w:tcW w:w="1477" w:type="pct"/>
            <w:vMerge/>
            <w:vAlign w:val="center"/>
          </w:tcPr>
          <w:p w:rsidR="005C5C71" w:rsidRDefault="005C5C71">
            <w:pPr>
              <w:spacing w:line="280" w:lineRule="exact"/>
              <w:jc w:val="center"/>
              <w:rPr>
                <w:rFonts w:ascii="方正仿宋简体" w:eastAsia="方正仿宋简体" w:hAnsi="方正仿宋简体" w:cs="方正仿宋简体"/>
                <w:b/>
                <w:bCs/>
                <w:iCs/>
              </w:rPr>
            </w:pPr>
          </w:p>
        </w:tc>
        <w:tc>
          <w:tcPr>
            <w:tcW w:w="1856" w:type="pct"/>
            <w:vAlign w:val="center"/>
          </w:tcPr>
          <w:p w:rsidR="005C5C71" w:rsidRDefault="005C5C71">
            <w:pPr>
              <w:spacing w:line="280" w:lineRule="exact"/>
              <w:jc w:val="center"/>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 M ≥ 500万元</w:t>
            </w:r>
          </w:p>
        </w:tc>
        <w:tc>
          <w:tcPr>
            <w:tcW w:w="1164" w:type="pct"/>
            <w:vAlign w:val="center"/>
          </w:tcPr>
          <w:p w:rsidR="005C5C71" w:rsidRDefault="005C5C71">
            <w:pPr>
              <w:spacing w:line="280" w:lineRule="exact"/>
              <w:jc w:val="center"/>
              <w:rPr>
                <w:rFonts w:ascii="方正仿宋简体" w:eastAsia="方正仿宋简体" w:hAnsi="宋体"/>
                <w:color w:val="000000" w:themeColor="text1"/>
                <w:kern w:val="0"/>
              </w:rPr>
            </w:pPr>
            <w:r>
              <w:rPr>
                <w:rFonts w:ascii="方正仿宋简体" w:eastAsia="方正仿宋简体" w:hAnsi="宋体" w:hint="eastAsia"/>
                <w:color w:val="000000" w:themeColor="text1"/>
                <w:kern w:val="0"/>
              </w:rPr>
              <w:t xml:space="preserve">  1000元/笔</w:t>
            </w:r>
          </w:p>
        </w:tc>
        <w:tc>
          <w:tcPr>
            <w:tcW w:w="503" w:type="pct"/>
            <w:vAlign w:val="center"/>
          </w:tcPr>
          <w:p w:rsidR="005C5C71" w:rsidRDefault="005C5C71">
            <w:pPr>
              <w:spacing w:line="280" w:lineRule="exact"/>
              <w:jc w:val="center"/>
              <w:rPr>
                <w:rFonts w:ascii="方正仿宋简体" w:eastAsia="方正仿宋简体" w:hAnsi="宋体"/>
                <w:color w:val="0000FF"/>
                <w:kern w:val="0"/>
              </w:rPr>
            </w:pPr>
          </w:p>
        </w:tc>
      </w:tr>
      <w:tr w:rsidR="005C403F" w:rsidTr="005C5C71">
        <w:trPr>
          <w:trHeight w:val="454"/>
        </w:trPr>
        <w:tc>
          <w:tcPr>
            <w:tcW w:w="1477" w:type="pct"/>
            <w:vMerge w:val="restart"/>
            <w:vAlign w:val="center"/>
          </w:tcPr>
          <w:p w:rsidR="005C403F" w:rsidRDefault="005C403F" w:rsidP="005C403F">
            <w:pPr>
              <w:spacing w:line="28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赎回费</w:t>
            </w:r>
          </w:p>
          <w:p w:rsidR="005C403F" w:rsidRDefault="005C403F" w:rsidP="005C403F">
            <w:pPr>
              <w:spacing w:line="280" w:lineRule="exact"/>
              <w:jc w:val="center"/>
              <w:rPr>
                <w:rFonts w:ascii="方正仿宋简体" w:eastAsia="方正仿宋简体" w:hAnsi="方正仿宋简体" w:cs="方正仿宋简体"/>
                <w:b/>
                <w:bCs/>
                <w:iCs/>
              </w:rPr>
            </w:pPr>
          </w:p>
        </w:tc>
        <w:tc>
          <w:tcPr>
            <w:tcW w:w="1856" w:type="pct"/>
            <w:vAlign w:val="center"/>
          </w:tcPr>
          <w:p w:rsidR="005C403F" w:rsidRDefault="005C403F" w:rsidP="005C403F">
            <w:pPr>
              <w:spacing w:line="280" w:lineRule="exact"/>
              <w:jc w:val="center"/>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  N &lt; 7天 </w:t>
            </w:r>
          </w:p>
        </w:tc>
        <w:tc>
          <w:tcPr>
            <w:tcW w:w="1164" w:type="pct"/>
            <w:vAlign w:val="center"/>
          </w:tcPr>
          <w:p w:rsidR="005C403F" w:rsidRDefault="005C403F" w:rsidP="005C403F">
            <w:pPr>
              <w:spacing w:line="280" w:lineRule="exact"/>
              <w:jc w:val="center"/>
              <w:rPr>
                <w:rFonts w:ascii="方正仿宋简体" w:eastAsia="方正仿宋简体" w:hAnsi="宋体"/>
                <w:color w:val="000000" w:themeColor="text1"/>
                <w:kern w:val="0"/>
              </w:rPr>
            </w:pPr>
            <w:r>
              <w:rPr>
                <w:rFonts w:ascii="方正仿宋简体" w:eastAsia="方正仿宋简体" w:hAnsi="宋体" w:hint="eastAsia"/>
                <w:color w:val="000000" w:themeColor="text1"/>
                <w:kern w:val="0"/>
              </w:rPr>
              <w:t xml:space="preserve">1.50%  </w:t>
            </w:r>
          </w:p>
        </w:tc>
        <w:tc>
          <w:tcPr>
            <w:tcW w:w="503" w:type="pct"/>
            <w:vAlign w:val="center"/>
          </w:tcPr>
          <w:p w:rsidR="005C403F" w:rsidRDefault="005C403F" w:rsidP="005C403F">
            <w:pPr>
              <w:spacing w:line="280" w:lineRule="exact"/>
              <w:jc w:val="center"/>
              <w:rPr>
                <w:rFonts w:ascii="方正仿宋简体" w:eastAsia="方正仿宋简体" w:hAnsi="宋体"/>
                <w:color w:val="0000FF"/>
                <w:kern w:val="0"/>
              </w:rPr>
            </w:pPr>
          </w:p>
        </w:tc>
      </w:tr>
      <w:tr w:rsidR="005C403F" w:rsidTr="005C5C71">
        <w:trPr>
          <w:trHeight w:val="454"/>
        </w:trPr>
        <w:tc>
          <w:tcPr>
            <w:tcW w:w="1477" w:type="pct"/>
            <w:vMerge/>
            <w:vAlign w:val="center"/>
          </w:tcPr>
          <w:p w:rsidR="005C403F" w:rsidRDefault="005C403F" w:rsidP="005C403F">
            <w:pPr>
              <w:spacing w:line="280" w:lineRule="exact"/>
              <w:jc w:val="center"/>
              <w:rPr>
                <w:rFonts w:ascii="方正仿宋简体" w:eastAsia="方正仿宋简体" w:hAnsi="方正仿宋简体" w:cs="方正仿宋简体"/>
                <w:b/>
                <w:bCs/>
                <w:iCs/>
              </w:rPr>
            </w:pPr>
          </w:p>
        </w:tc>
        <w:tc>
          <w:tcPr>
            <w:tcW w:w="1856" w:type="pct"/>
            <w:vAlign w:val="center"/>
          </w:tcPr>
          <w:p w:rsidR="005C403F" w:rsidRDefault="005C403F" w:rsidP="005C403F">
            <w:pPr>
              <w:spacing w:line="280" w:lineRule="exact"/>
              <w:jc w:val="center"/>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7天 ≤ N &lt; 30天 </w:t>
            </w:r>
          </w:p>
        </w:tc>
        <w:tc>
          <w:tcPr>
            <w:tcW w:w="1164" w:type="pct"/>
            <w:vAlign w:val="center"/>
          </w:tcPr>
          <w:p w:rsidR="005C403F" w:rsidRDefault="005C403F" w:rsidP="005C403F">
            <w:pPr>
              <w:spacing w:line="280" w:lineRule="exact"/>
              <w:jc w:val="center"/>
              <w:rPr>
                <w:rFonts w:ascii="方正仿宋简体" w:eastAsia="方正仿宋简体" w:hAnsi="宋体"/>
                <w:color w:val="000000" w:themeColor="text1"/>
                <w:kern w:val="0"/>
              </w:rPr>
            </w:pPr>
            <w:r>
              <w:rPr>
                <w:rFonts w:ascii="方正仿宋简体" w:eastAsia="方正仿宋简体" w:hAnsi="宋体" w:hint="eastAsia"/>
                <w:color w:val="000000" w:themeColor="text1"/>
                <w:kern w:val="0"/>
              </w:rPr>
              <w:t xml:space="preserve">0.75%  </w:t>
            </w:r>
          </w:p>
        </w:tc>
        <w:tc>
          <w:tcPr>
            <w:tcW w:w="503" w:type="pct"/>
            <w:vAlign w:val="center"/>
          </w:tcPr>
          <w:p w:rsidR="005C403F" w:rsidRDefault="005C403F" w:rsidP="005C403F">
            <w:pPr>
              <w:spacing w:line="280" w:lineRule="exact"/>
              <w:jc w:val="center"/>
              <w:rPr>
                <w:rFonts w:ascii="方正仿宋简体" w:eastAsia="方正仿宋简体" w:hAnsi="宋体"/>
                <w:color w:val="0000FF"/>
                <w:kern w:val="0"/>
              </w:rPr>
            </w:pPr>
          </w:p>
        </w:tc>
      </w:tr>
      <w:tr w:rsidR="005C403F" w:rsidTr="005C5C71">
        <w:trPr>
          <w:trHeight w:val="454"/>
        </w:trPr>
        <w:tc>
          <w:tcPr>
            <w:tcW w:w="1477" w:type="pct"/>
            <w:vMerge/>
            <w:vAlign w:val="center"/>
          </w:tcPr>
          <w:p w:rsidR="005C403F" w:rsidRDefault="005C403F" w:rsidP="005C403F">
            <w:pPr>
              <w:spacing w:line="280" w:lineRule="exact"/>
              <w:jc w:val="center"/>
              <w:rPr>
                <w:rFonts w:ascii="方正仿宋简体" w:eastAsia="方正仿宋简体" w:hAnsi="方正仿宋简体" w:cs="方正仿宋简体"/>
                <w:b/>
                <w:bCs/>
                <w:iCs/>
              </w:rPr>
            </w:pPr>
          </w:p>
        </w:tc>
        <w:tc>
          <w:tcPr>
            <w:tcW w:w="1856" w:type="pct"/>
            <w:vAlign w:val="center"/>
          </w:tcPr>
          <w:p w:rsidR="005C403F" w:rsidRDefault="005C403F" w:rsidP="005C403F">
            <w:pPr>
              <w:spacing w:line="280" w:lineRule="exact"/>
              <w:jc w:val="center"/>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30天 ≤ N &lt; 180天 </w:t>
            </w:r>
          </w:p>
        </w:tc>
        <w:tc>
          <w:tcPr>
            <w:tcW w:w="1164" w:type="pct"/>
            <w:vAlign w:val="center"/>
          </w:tcPr>
          <w:p w:rsidR="005C403F" w:rsidRDefault="005C403F" w:rsidP="005C403F">
            <w:pPr>
              <w:spacing w:line="280" w:lineRule="exact"/>
              <w:jc w:val="center"/>
              <w:rPr>
                <w:rFonts w:ascii="方正仿宋简体" w:eastAsia="方正仿宋简体" w:hAnsi="宋体"/>
                <w:color w:val="000000" w:themeColor="text1"/>
                <w:kern w:val="0"/>
              </w:rPr>
            </w:pPr>
            <w:r>
              <w:rPr>
                <w:rFonts w:ascii="方正仿宋简体" w:eastAsia="方正仿宋简体" w:hAnsi="宋体" w:hint="eastAsia"/>
                <w:color w:val="000000" w:themeColor="text1"/>
                <w:kern w:val="0"/>
              </w:rPr>
              <w:t xml:space="preserve">0.10%  </w:t>
            </w:r>
          </w:p>
        </w:tc>
        <w:tc>
          <w:tcPr>
            <w:tcW w:w="503" w:type="pct"/>
            <w:vAlign w:val="center"/>
          </w:tcPr>
          <w:p w:rsidR="005C403F" w:rsidRDefault="005C403F" w:rsidP="005C403F">
            <w:pPr>
              <w:spacing w:line="280" w:lineRule="exact"/>
              <w:jc w:val="center"/>
              <w:rPr>
                <w:rFonts w:ascii="方正仿宋简体" w:eastAsia="方正仿宋简体" w:hAnsi="宋体"/>
                <w:color w:val="0000FF"/>
                <w:kern w:val="0"/>
              </w:rPr>
            </w:pPr>
          </w:p>
        </w:tc>
      </w:tr>
      <w:tr w:rsidR="005C403F" w:rsidTr="00691163">
        <w:trPr>
          <w:trHeight w:val="454"/>
        </w:trPr>
        <w:tc>
          <w:tcPr>
            <w:tcW w:w="1477" w:type="pct"/>
            <w:vMerge/>
            <w:vAlign w:val="center"/>
          </w:tcPr>
          <w:p w:rsidR="005C403F" w:rsidRDefault="005C403F" w:rsidP="005C403F">
            <w:pPr>
              <w:spacing w:line="280" w:lineRule="exact"/>
              <w:jc w:val="center"/>
              <w:rPr>
                <w:rFonts w:ascii="方正仿宋简体" w:eastAsia="方正仿宋简体" w:hAnsi="方正仿宋简体" w:cs="方正仿宋简体"/>
                <w:b/>
                <w:bCs/>
                <w:iCs/>
              </w:rPr>
            </w:pPr>
          </w:p>
        </w:tc>
        <w:tc>
          <w:tcPr>
            <w:tcW w:w="1856" w:type="pct"/>
            <w:vAlign w:val="center"/>
          </w:tcPr>
          <w:p w:rsidR="005C403F" w:rsidRDefault="005C403F" w:rsidP="005C403F">
            <w:pPr>
              <w:spacing w:line="280" w:lineRule="exact"/>
              <w:jc w:val="center"/>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　 　 N ≥ 180天 </w:t>
            </w:r>
          </w:p>
        </w:tc>
        <w:tc>
          <w:tcPr>
            <w:tcW w:w="1164" w:type="pct"/>
            <w:vAlign w:val="center"/>
          </w:tcPr>
          <w:p w:rsidR="005C403F" w:rsidRDefault="005C403F" w:rsidP="005C403F">
            <w:pPr>
              <w:spacing w:line="280" w:lineRule="exact"/>
              <w:jc w:val="center"/>
              <w:rPr>
                <w:rFonts w:ascii="方正仿宋简体" w:eastAsia="方正仿宋简体" w:hAnsi="宋体"/>
                <w:color w:val="000000" w:themeColor="text1"/>
                <w:kern w:val="0"/>
              </w:rPr>
            </w:pPr>
            <w:r>
              <w:rPr>
                <w:rFonts w:ascii="方正仿宋简体" w:eastAsia="方正仿宋简体" w:hAnsi="宋体" w:hint="eastAsia"/>
                <w:color w:val="000000" w:themeColor="text1"/>
                <w:kern w:val="0"/>
              </w:rPr>
              <w:t xml:space="preserve">0.00%  </w:t>
            </w:r>
          </w:p>
        </w:tc>
        <w:tc>
          <w:tcPr>
            <w:tcW w:w="503" w:type="pct"/>
            <w:vAlign w:val="center"/>
          </w:tcPr>
          <w:p w:rsidR="005C403F" w:rsidRDefault="005C403F" w:rsidP="005C403F">
            <w:pPr>
              <w:spacing w:line="280" w:lineRule="exact"/>
              <w:jc w:val="center"/>
              <w:rPr>
                <w:rFonts w:ascii="方正仿宋简体" w:eastAsia="方正仿宋简体" w:hAnsi="宋体"/>
                <w:color w:val="0000FF"/>
                <w:kern w:val="0"/>
              </w:rPr>
            </w:pPr>
          </w:p>
        </w:tc>
      </w:tr>
    </w:tbl>
    <w:p w:rsidR="00225B28" w:rsidRDefault="00225B28">
      <w:pPr>
        <w:spacing w:line="280" w:lineRule="exact"/>
        <w:rPr>
          <w:rFonts w:ascii="方正仿宋简体" w:eastAsia="方正仿宋简体" w:hAnsiTheme="minorEastAsia" w:cs="方正仿宋简体"/>
          <w:b/>
          <w:iCs/>
          <w:sz w:val="24"/>
          <w:szCs w:val="24"/>
        </w:rPr>
      </w:pPr>
    </w:p>
    <w:p w:rsidR="00225B28" w:rsidRDefault="001F6C89">
      <w:pPr>
        <w:spacing w:line="280" w:lineRule="exact"/>
        <w:outlineLvl w:val="1"/>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（二）基金运作相关费用</w:t>
      </w:r>
    </w:p>
    <w:p w:rsidR="00225B28" w:rsidRDefault="001F6C89">
      <w:pPr>
        <w:autoSpaceDE w:val="0"/>
        <w:autoSpaceDN w:val="0"/>
        <w:adjustRightInd w:val="0"/>
        <w:spacing w:line="280" w:lineRule="exact"/>
        <w:jc w:val="left"/>
        <w:rPr>
          <w:rFonts w:ascii="方正仿宋简体" w:eastAsia="方正仿宋简体" w:hAnsi="方正仿宋简体" w:cs="方正仿宋简体"/>
          <w:iCs/>
        </w:rPr>
      </w:pPr>
      <w:r>
        <w:rPr>
          <w:rFonts w:ascii="方正仿宋简体" w:eastAsia="方正仿宋简体" w:hint="eastAsia"/>
        </w:rPr>
        <w:t>以下</w:t>
      </w:r>
      <w:r>
        <w:rPr>
          <w:rFonts w:ascii="方正仿宋简体" w:eastAsia="方正仿宋简体" w:hAnsi="方正仿宋简体" w:cs="方正仿宋简体" w:hint="eastAsia"/>
          <w:iCs/>
        </w:rPr>
        <w:t>费用将从基金资产中扣除：</w:t>
      </w:r>
    </w:p>
    <w:tbl>
      <w:tblPr>
        <w:tblW w:w="5000" w:type="pct"/>
        <w:tblBorders>
          <w:top w:val="single" w:sz="4" w:space="0" w:color="000000"/>
          <w:bottom w:val="single" w:sz="4" w:space="0" w:color="000000"/>
          <w:insideH w:val="dashSmallGap" w:sz="4" w:space="0" w:color="808080" w:themeColor="background1" w:themeShade="80"/>
        </w:tblBorders>
        <w:tblLook w:val="0000"/>
      </w:tblPr>
      <w:tblGrid>
        <w:gridCol w:w="3226"/>
        <w:gridCol w:w="5296"/>
      </w:tblGrid>
      <w:tr w:rsidR="00225B28" w:rsidTr="0074096A">
        <w:trPr>
          <w:trHeight w:val="454"/>
        </w:trPr>
        <w:tc>
          <w:tcPr>
            <w:tcW w:w="1893" w:type="pct"/>
            <w:vAlign w:val="center"/>
          </w:tcPr>
          <w:p w:rsidR="00225B28" w:rsidRDefault="001F6C89">
            <w:pPr>
              <w:spacing w:line="280" w:lineRule="exact"/>
              <w:rPr>
                <w:rFonts w:ascii="方正仿宋简体" w:eastAsia="方正仿宋简体" w:hAnsi="方正仿宋简体" w:cs="方正仿宋简体"/>
                <w:b/>
                <w:bCs/>
              </w:rPr>
            </w:pPr>
            <w:r>
              <w:rPr>
                <w:rFonts w:ascii="方正仿宋简体" w:eastAsia="方正仿宋简体" w:hAnsi="方正仿宋简体" w:cs="方正仿宋简体" w:hint="eastAsia"/>
                <w:b/>
                <w:bCs/>
                <w:iCs/>
              </w:rPr>
              <w:t>费用类别</w:t>
            </w:r>
          </w:p>
        </w:tc>
        <w:tc>
          <w:tcPr>
            <w:tcW w:w="3107" w:type="pct"/>
            <w:vAlign w:val="center"/>
          </w:tcPr>
          <w:p w:rsidR="00225B28" w:rsidRDefault="001F6C89">
            <w:pPr>
              <w:spacing w:line="28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收费方式/年费率</w:t>
            </w:r>
          </w:p>
        </w:tc>
      </w:tr>
      <w:tr w:rsidR="00225B28" w:rsidTr="0074096A">
        <w:trPr>
          <w:trHeight w:val="454"/>
        </w:trPr>
        <w:tc>
          <w:tcPr>
            <w:tcW w:w="1893" w:type="pct"/>
            <w:vAlign w:val="center"/>
          </w:tcPr>
          <w:p w:rsidR="00225B28" w:rsidRDefault="001F6C89">
            <w:pPr>
              <w:spacing w:line="280" w:lineRule="exact"/>
              <w:rPr>
                <w:rFonts w:ascii="方正仿宋简体" w:eastAsia="方正仿宋简体" w:hAnsi="方正仿宋简体" w:cs="方正仿宋简体"/>
                <w:bCs/>
                <w:iCs/>
              </w:rPr>
            </w:pPr>
            <w:r>
              <w:rPr>
                <w:rFonts w:ascii="方正仿宋简体" w:eastAsia="方正仿宋简体" w:hAnsi="方正仿宋简体" w:cs="方正仿宋简体" w:hint="eastAsia"/>
                <w:bCs/>
                <w:iCs/>
              </w:rPr>
              <w:t>管理费</w:t>
            </w:r>
          </w:p>
        </w:tc>
        <w:tc>
          <w:tcPr>
            <w:tcW w:w="3107" w:type="pct"/>
            <w:vAlign w:val="center"/>
          </w:tcPr>
          <w:p w:rsidR="00225B28" w:rsidRDefault="001F6C89">
            <w:pPr>
              <w:spacing w:line="280" w:lineRule="exact"/>
              <w:jc w:val="center"/>
              <w:rPr>
                <w:rFonts w:ascii="方正仿宋简体" w:eastAsia="方正仿宋简体" w:hAnsi="方正仿宋简体" w:cs="方正仿宋简体"/>
                <w:bCs/>
                <w:iCs/>
              </w:rPr>
            </w:pPr>
            <w:r>
              <w:rPr>
                <w:rFonts w:ascii="方正仿宋简体" w:eastAsia="方正仿宋简体" w:hAnsi="方正仿宋简体" w:cs="方正仿宋简体" w:hint="eastAsia"/>
                <w:bCs/>
                <w:iCs/>
              </w:rPr>
              <w:t xml:space="preserve"> 0.50%</w:t>
            </w:r>
          </w:p>
        </w:tc>
      </w:tr>
      <w:tr w:rsidR="00225B28" w:rsidTr="0074096A">
        <w:trPr>
          <w:trHeight w:val="454"/>
        </w:trPr>
        <w:tc>
          <w:tcPr>
            <w:tcW w:w="1893" w:type="pct"/>
            <w:vAlign w:val="center"/>
          </w:tcPr>
          <w:p w:rsidR="00225B28" w:rsidRDefault="001F6C89">
            <w:pPr>
              <w:spacing w:line="280" w:lineRule="exact"/>
              <w:rPr>
                <w:rFonts w:ascii="方正仿宋简体" w:eastAsia="方正仿宋简体" w:hAnsiTheme="minorEastAsia" w:cs="方正仿宋简体"/>
                <w:bCs/>
                <w:iCs/>
              </w:rPr>
            </w:pPr>
            <w:r>
              <w:rPr>
                <w:rFonts w:ascii="方正仿宋简体" w:eastAsia="方正仿宋简体" w:hAnsiTheme="minorEastAsia" w:cs="方正仿宋简体" w:hint="eastAsia"/>
                <w:bCs/>
                <w:iCs/>
              </w:rPr>
              <w:t>托管费</w:t>
            </w:r>
          </w:p>
        </w:tc>
        <w:tc>
          <w:tcPr>
            <w:tcW w:w="3107" w:type="pct"/>
            <w:vAlign w:val="center"/>
          </w:tcPr>
          <w:p w:rsidR="00225B28" w:rsidRDefault="001F6C89">
            <w:pPr>
              <w:spacing w:line="280" w:lineRule="exact"/>
              <w:jc w:val="center"/>
              <w:rPr>
                <w:rFonts w:ascii="方正仿宋简体" w:eastAsia="方正仿宋简体" w:hAnsiTheme="minorEastAsia" w:cs="方正仿宋简体"/>
                <w:bCs/>
                <w:iCs/>
              </w:rPr>
            </w:pPr>
            <w:r>
              <w:rPr>
                <w:rFonts w:ascii="方正仿宋简体" w:eastAsia="方正仿宋简体" w:hAnsiTheme="minorEastAsia" w:cs="方正仿宋简体" w:hint="eastAsia"/>
                <w:bCs/>
                <w:iCs/>
              </w:rPr>
              <w:t xml:space="preserve"> 0.10%</w:t>
            </w:r>
          </w:p>
        </w:tc>
      </w:tr>
    </w:tbl>
    <w:p w:rsidR="00094F82" w:rsidRDefault="00094F82" w:rsidP="00094F82">
      <w:pPr>
        <w:autoSpaceDE w:val="0"/>
        <w:autoSpaceDN w:val="0"/>
        <w:adjustRightInd w:val="0"/>
        <w:spacing w:line="280" w:lineRule="exact"/>
        <w:jc w:val="left"/>
        <w:rPr>
          <w:rFonts w:ascii="方正仿宋简体" w:eastAsia="方正仿宋简体" w:hAnsiTheme="minorEastAsia" w:cs="仿宋_GB2312"/>
          <w:kern w:val="0"/>
          <w:szCs w:val="24"/>
        </w:rPr>
      </w:pPr>
      <w:r w:rsidRPr="009109DC">
        <w:rPr>
          <w:rFonts w:ascii="方正仿宋简体" w:eastAsia="方正仿宋简体" w:hAnsiTheme="minorEastAsia" w:cs="仿宋_GB2312" w:hint="eastAsia"/>
          <w:kern w:val="0"/>
          <w:szCs w:val="24"/>
        </w:rPr>
        <w:t>注：本基金交易证券、基金等产生的费用和税负，按实际发生额从基金资产扣除。</w:t>
      </w:r>
    </w:p>
    <w:p w:rsidR="00094F82" w:rsidRDefault="00094F82" w:rsidP="00094F82">
      <w:pPr>
        <w:numPr>
          <w:ilvl w:val="0"/>
          <w:numId w:val="10"/>
        </w:numPr>
        <w:spacing w:line="280" w:lineRule="exact"/>
        <w:outlineLvl w:val="0"/>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风险揭示与重要提示</w:t>
      </w:r>
    </w:p>
    <w:p w:rsidR="00094F82" w:rsidRDefault="00094F82" w:rsidP="00094F82">
      <w:pPr>
        <w:spacing w:line="280" w:lineRule="exact"/>
        <w:outlineLvl w:val="1"/>
        <w:rPr>
          <w:rFonts w:ascii="方正仿宋简体" w:eastAsia="方正仿宋简体" w:hAnsi="宋体"/>
          <w:color w:val="0000FF"/>
          <w:kern w:val="0"/>
          <w:sz w:val="18"/>
        </w:rPr>
      </w:pPr>
      <w:r>
        <w:rPr>
          <w:rFonts w:ascii="方正仿宋简体" w:eastAsia="方正仿宋简体" w:hAnsi="方正仿宋简体" w:cs="方正仿宋简体" w:hint="eastAsia"/>
          <w:b/>
          <w:bCs/>
          <w:iCs/>
          <w:sz w:val="24"/>
          <w:szCs w:val="24"/>
        </w:rPr>
        <w:t>（一）风险揭示</w:t>
      </w:r>
    </w:p>
    <w:p w:rsidR="005C76DE" w:rsidRPr="00D84721" w:rsidRDefault="005C76DE" w:rsidP="005C76DE">
      <w:pPr>
        <w:spacing w:line="280" w:lineRule="exact"/>
        <w:ind w:firstLine="420"/>
        <w:rPr>
          <w:rFonts w:ascii="方正仿宋简体" w:eastAsia="方正仿宋简体" w:hAnsi="方正仿宋简体" w:cs="方正仿宋简体"/>
          <w:b/>
          <w:iCs/>
        </w:rPr>
      </w:pPr>
      <w:r w:rsidRPr="00D84721">
        <w:rPr>
          <w:rFonts w:ascii="方正仿宋简体" w:eastAsia="方正仿宋简体" w:hAnsi="方正仿宋简体" w:cs="方正仿宋简体"/>
          <w:b/>
          <w:iCs/>
        </w:rPr>
        <w:t>1、</w:t>
      </w:r>
      <w:r w:rsidRPr="00D84721">
        <w:rPr>
          <w:rFonts w:ascii="方正仿宋简体" w:eastAsia="方正仿宋简体" w:hAnsi="方正仿宋简体" w:cs="方正仿宋简体" w:hint="eastAsia"/>
          <w:b/>
          <w:iCs/>
        </w:rPr>
        <w:t>本基金的主要风险</w:t>
      </w:r>
    </w:p>
    <w:p w:rsidR="005C76DE" w:rsidRDefault="005C76DE" w:rsidP="005C76DE">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本基金的主要风险包括：市场风险、</w:t>
      </w:r>
      <w:r w:rsidRPr="001D7C91">
        <w:rPr>
          <w:rFonts w:ascii="方正仿宋简体" w:eastAsia="方正仿宋简体" w:hAnsi="方正仿宋简体" w:cs="方正仿宋简体" w:hint="eastAsia"/>
          <w:iCs/>
        </w:rPr>
        <w:t>流动性风险</w:t>
      </w:r>
      <w:r>
        <w:rPr>
          <w:rFonts w:ascii="方正仿宋简体" w:eastAsia="方正仿宋简体" w:hAnsi="方正仿宋简体" w:cs="方正仿宋简体" w:hint="eastAsia"/>
          <w:iCs/>
        </w:rPr>
        <w:t>、</w:t>
      </w:r>
      <w:r w:rsidRPr="005C76DE">
        <w:rPr>
          <w:rFonts w:ascii="方正仿宋简体" w:eastAsia="方正仿宋简体" w:hAnsi="方正仿宋简体" w:cs="方正仿宋简体" w:hint="eastAsia"/>
          <w:iCs/>
        </w:rPr>
        <w:t>现金储备管理风险</w:t>
      </w:r>
      <w:r>
        <w:rPr>
          <w:rFonts w:ascii="方正仿宋简体" w:eastAsia="方正仿宋简体" w:hAnsi="方正仿宋简体" w:cs="方正仿宋简体" w:hint="eastAsia"/>
          <w:iCs/>
        </w:rPr>
        <w:t>、信用风险、</w:t>
      </w:r>
      <w:r w:rsidRPr="001D7C91">
        <w:rPr>
          <w:rFonts w:ascii="方正仿宋简体" w:eastAsia="方正仿宋简体" w:hAnsi="方正仿宋简体" w:cs="方正仿宋简体" w:hint="eastAsia"/>
          <w:iCs/>
        </w:rPr>
        <w:t>交易对手违约风险</w:t>
      </w:r>
      <w:r>
        <w:rPr>
          <w:rFonts w:ascii="方正仿宋简体" w:eastAsia="方正仿宋简体" w:hAnsi="方正仿宋简体" w:cs="方正仿宋简体" w:hint="eastAsia"/>
          <w:iCs/>
        </w:rPr>
        <w:t>、</w:t>
      </w:r>
      <w:r w:rsidRPr="001D7C91">
        <w:rPr>
          <w:rFonts w:ascii="方正仿宋简体" w:eastAsia="方正仿宋简体" w:hAnsi="方正仿宋简体" w:cs="方正仿宋简体" w:hint="eastAsia"/>
          <w:iCs/>
        </w:rPr>
        <w:t>管理风险</w:t>
      </w:r>
      <w:r>
        <w:rPr>
          <w:rFonts w:ascii="方正仿宋简体" w:eastAsia="方正仿宋简体" w:hAnsi="方正仿宋简体" w:cs="方正仿宋简体" w:hint="eastAsia"/>
          <w:iCs/>
        </w:rPr>
        <w:t>、</w:t>
      </w:r>
      <w:r w:rsidRPr="005C76DE">
        <w:rPr>
          <w:rFonts w:ascii="方正仿宋简体" w:eastAsia="方正仿宋简体" w:hAnsi="方正仿宋简体" w:cs="方正仿宋简体" w:hint="eastAsia"/>
          <w:iCs/>
        </w:rPr>
        <w:t>中小企业私募债券风险</w:t>
      </w:r>
      <w:r>
        <w:rPr>
          <w:rFonts w:ascii="方正仿宋简体" w:eastAsia="方正仿宋简体" w:hAnsi="方正仿宋简体" w:cs="方正仿宋简体" w:hint="eastAsia"/>
          <w:iCs/>
        </w:rPr>
        <w:t>、</w:t>
      </w:r>
      <w:r w:rsidRPr="001D7C91">
        <w:rPr>
          <w:rFonts w:ascii="方正仿宋简体" w:eastAsia="方正仿宋简体" w:hAnsi="方正仿宋简体" w:cs="方正仿宋简体" w:hint="eastAsia"/>
          <w:iCs/>
        </w:rPr>
        <w:t>本基金的特有风险</w:t>
      </w:r>
      <w:r>
        <w:rPr>
          <w:rFonts w:ascii="方正仿宋简体" w:eastAsia="方正仿宋简体" w:hAnsi="方正仿宋简体" w:cs="方正仿宋简体" w:hint="eastAsia"/>
          <w:iCs/>
        </w:rPr>
        <w:t>、</w:t>
      </w:r>
      <w:r w:rsidRPr="001D7C91">
        <w:rPr>
          <w:rFonts w:ascii="方正仿宋简体" w:eastAsia="方正仿宋简体" w:hAnsi="方正仿宋简体" w:cs="方正仿宋简体" w:hint="eastAsia"/>
          <w:iCs/>
        </w:rPr>
        <w:t>资产配置风险</w:t>
      </w:r>
      <w:r>
        <w:rPr>
          <w:rFonts w:ascii="方正仿宋简体" w:eastAsia="方正仿宋简体" w:hAnsi="方正仿宋简体" w:cs="方正仿宋简体" w:hint="eastAsia"/>
          <w:iCs/>
        </w:rPr>
        <w:t>、</w:t>
      </w:r>
      <w:r w:rsidRPr="001D7C91">
        <w:rPr>
          <w:rFonts w:ascii="方正仿宋简体" w:eastAsia="方正仿宋简体" w:hAnsi="方正仿宋简体" w:cs="方正仿宋简体" w:hint="eastAsia"/>
          <w:iCs/>
        </w:rPr>
        <w:t>不可抗力风险</w:t>
      </w:r>
      <w:r>
        <w:rPr>
          <w:rFonts w:ascii="方正仿宋简体" w:eastAsia="方正仿宋简体" w:hAnsi="方正仿宋简体" w:cs="方正仿宋简体" w:hint="eastAsia"/>
          <w:iCs/>
        </w:rPr>
        <w:t>及</w:t>
      </w:r>
      <w:r w:rsidRPr="001D7C91">
        <w:rPr>
          <w:rFonts w:ascii="方正仿宋简体" w:eastAsia="方正仿宋简体" w:hAnsi="方正仿宋简体" w:cs="方正仿宋简体" w:hint="eastAsia"/>
          <w:iCs/>
        </w:rPr>
        <w:t>其他风险</w:t>
      </w:r>
      <w:r>
        <w:rPr>
          <w:rFonts w:ascii="方正仿宋简体" w:eastAsia="方正仿宋简体" w:hAnsi="方正仿宋简体" w:cs="方正仿宋简体" w:hint="eastAsia"/>
          <w:iCs/>
        </w:rPr>
        <w:t>。</w:t>
      </w:r>
    </w:p>
    <w:p w:rsidR="005C76DE" w:rsidRDefault="005C76DE" w:rsidP="005C76DE">
      <w:pPr>
        <w:spacing w:line="280" w:lineRule="exact"/>
        <w:ind w:firstLine="420"/>
        <w:rPr>
          <w:rFonts w:ascii="方正仿宋简体" w:eastAsia="方正仿宋简体" w:hAnsi="方正仿宋简体" w:cs="方正仿宋简体"/>
          <w:b/>
          <w:iCs/>
        </w:rPr>
      </w:pPr>
      <w:r w:rsidRPr="00D84721">
        <w:rPr>
          <w:rFonts w:ascii="方正仿宋简体" w:eastAsia="方正仿宋简体" w:hAnsi="方正仿宋简体" w:cs="方正仿宋简体"/>
          <w:b/>
          <w:iCs/>
        </w:rPr>
        <w:t>2、</w:t>
      </w:r>
      <w:r w:rsidRPr="00D84721">
        <w:rPr>
          <w:rFonts w:ascii="方正仿宋简体" w:eastAsia="方正仿宋简体" w:hAnsi="方正仿宋简体" w:cs="方正仿宋简体" w:hint="eastAsia"/>
          <w:b/>
          <w:iCs/>
        </w:rPr>
        <w:t>本基金的特有风险</w:t>
      </w:r>
    </w:p>
    <w:p w:rsidR="005C76DE" w:rsidRPr="005C5C71" w:rsidRDefault="005C76DE" w:rsidP="005C76DE">
      <w:pPr>
        <w:spacing w:line="280" w:lineRule="exact"/>
        <w:ind w:firstLine="420"/>
        <w:rPr>
          <w:rFonts w:ascii="方正仿宋简体" w:eastAsia="方正仿宋简体" w:hAnsi="方正仿宋简体" w:cs="方正仿宋简体"/>
          <w:iCs/>
        </w:rPr>
      </w:pPr>
      <w:r w:rsidRPr="005C5C71">
        <w:rPr>
          <w:rFonts w:ascii="方正仿宋简体" w:eastAsia="方正仿宋简体" w:hAnsi="方正仿宋简体" w:cs="方正仿宋简体" w:hint="eastAsia"/>
          <w:iCs/>
        </w:rPr>
        <w:t>根据本基金投资范围的规定，本基金投资于债券的资产占基金资产比例不低于</w:t>
      </w:r>
      <w:r w:rsidRPr="005C5C71">
        <w:rPr>
          <w:rFonts w:ascii="方正仿宋简体" w:eastAsia="方正仿宋简体" w:hAnsi="方正仿宋简体" w:cs="方正仿宋简体"/>
          <w:iCs/>
        </w:rPr>
        <w:t>80%。因此，本基金需要承担由于市场利率波动造成的利率风险以及发债主体特别是公司债、企业债的发债主体的信用质量变化造成的信用风险，以及无法偿债造成的信用违约风险；如果债券市场出现整体下跌，将无法完全避免债券市场系统性风险。</w:t>
      </w:r>
    </w:p>
    <w:p w:rsidR="005C76DE" w:rsidRPr="005C5C71" w:rsidRDefault="005C76DE" w:rsidP="005C76DE">
      <w:pPr>
        <w:spacing w:line="280" w:lineRule="exact"/>
        <w:ind w:firstLine="420"/>
        <w:rPr>
          <w:rFonts w:ascii="方正仿宋简体" w:eastAsia="方正仿宋简体" w:hAnsi="方正仿宋简体" w:cs="方正仿宋简体"/>
          <w:iCs/>
        </w:rPr>
      </w:pPr>
      <w:r w:rsidRPr="005C5C71">
        <w:rPr>
          <w:rFonts w:ascii="方正仿宋简体" w:eastAsia="方正仿宋简体" w:hAnsi="方正仿宋简体" w:cs="方正仿宋简体" w:hint="eastAsia"/>
          <w:iCs/>
        </w:rPr>
        <w:t>本基金投资于可转债品种，可转债的条款相对于普通债券和股票而言更为复杂，对这些条款研究不足导致的事件可能为本基金带来损失。例如，当可转债的价格明显高于其赎回价格时，若本基金未能在转债被赎回前转股或卖出，则可能产生不必要的损失。</w:t>
      </w:r>
    </w:p>
    <w:p w:rsidR="005C76DE" w:rsidRDefault="005C76DE" w:rsidP="005C76DE">
      <w:pPr>
        <w:spacing w:line="280" w:lineRule="exact"/>
        <w:ind w:firstLine="420"/>
        <w:rPr>
          <w:rFonts w:ascii="方正仿宋简体" w:eastAsia="方正仿宋简体" w:hAnsi="方正仿宋简体" w:cs="方正仿宋简体"/>
          <w:iCs/>
        </w:rPr>
      </w:pPr>
      <w:r w:rsidRPr="005C5C71">
        <w:rPr>
          <w:rFonts w:ascii="方正仿宋简体" w:eastAsia="方正仿宋简体" w:hAnsi="方正仿宋简体" w:cs="方正仿宋简体" w:hint="eastAsia"/>
          <w:iCs/>
        </w:rPr>
        <w:t>本基金投资中小企业私募债券，中小企业私募债是根据相关法律法规由非上市中小企业采用非公开方式发行的债券。由于不能公开交易，一般情况下，交易不活跃，潜在较大流动性风险。外部评级机构一般不对这类债券进行外部评级，可能也会降低市场对该类债券的认可度，从而影响该类债券的市场流动性。同时由于债券发行主体的资产规模较小、经营的波动性较大，且各类材料不公开发布，也大大提高了分析并跟踪发债主体信用基本面的难度。当发债主体信用质量恶化时，受市场流动性所限，本基金可能无法卖出所持有的中小企业私募债，由此可能给基金净值带来更大的负面影响和损失。</w:t>
      </w:r>
    </w:p>
    <w:p w:rsidR="006955BB" w:rsidRPr="006955BB" w:rsidRDefault="006955BB" w:rsidP="005C76DE">
      <w:pPr>
        <w:spacing w:line="280" w:lineRule="exact"/>
        <w:ind w:firstLine="420"/>
        <w:rPr>
          <w:rFonts w:ascii="方正仿宋简体" w:eastAsia="方正仿宋简体" w:hAnsi="方正仿宋简体" w:cs="方正仿宋简体"/>
          <w:iCs/>
        </w:rPr>
      </w:pPr>
      <w:r w:rsidRPr="006955BB">
        <w:rPr>
          <w:rFonts w:ascii="方正仿宋简体" w:eastAsia="方正仿宋简体" w:hAnsi="方正仿宋简体" w:cs="方正仿宋简体" w:hint="eastAsia"/>
          <w:iCs/>
        </w:rPr>
        <w:t>本基金的投资范围包括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094F82" w:rsidRDefault="00094F82" w:rsidP="00094F82">
      <w:pPr>
        <w:spacing w:line="280" w:lineRule="exact"/>
        <w:outlineLvl w:val="1"/>
        <w:rPr>
          <w:rFonts w:ascii="方正仿宋简体" w:eastAsia="方正仿宋简体" w:hAnsi="方正仿宋简体" w:cs="方正仿宋简体"/>
          <w:b/>
          <w:iCs/>
          <w:sz w:val="22"/>
          <w:szCs w:val="24"/>
        </w:rPr>
      </w:pPr>
      <w:r>
        <w:rPr>
          <w:rFonts w:ascii="方正仿宋简体" w:eastAsia="方正仿宋简体" w:hAnsi="方正仿宋简体" w:cs="方正仿宋简体" w:hint="eastAsia"/>
          <w:b/>
          <w:iCs/>
          <w:sz w:val="24"/>
          <w:szCs w:val="24"/>
        </w:rPr>
        <w:t>（二）重要提示</w:t>
      </w:r>
    </w:p>
    <w:p w:rsidR="00094F82" w:rsidRPr="006A0506" w:rsidRDefault="00094F82" w:rsidP="00094F82">
      <w:pPr>
        <w:spacing w:line="280" w:lineRule="exact"/>
        <w:ind w:firstLine="420"/>
        <w:rPr>
          <w:rFonts w:ascii="方正仿宋简体" w:eastAsia="方正仿宋简体" w:hAnsi="方正仿宋简体" w:cs="方正仿宋简体"/>
          <w:iCs/>
        </w:rPr>
      </w:pPr>
      <w:r w:rsidRPr="006A0506">
        <w:rPr>
          <w:rFonts w:ascii="方正仿宋简体" w:eastAsia="方正仿宋简体" w:hAnsi="方正仿宋简体" w:cs="方正仿宋简体" w:hint="eastAsia"/>
          <w:iCs/>
        </w:rPr>
        <w:t>中国证监会对本基金募集的注册，并不表明其对本基金的价值和收益作出实质性判断或保证，也不表明投资于本基金没有风险。</w:t>
      </w:r>
    </w:p>
    <w:p w:rsidR="00094F82" w:rsidRDefault="00094F82" w:rsidP="00094F82">
      <w:pPr>
        <w:spacing w:line="280" w:lineRule="exact"/>
        <w:ind w:firstLine="420"/>
        <w:rPr>
          <w:rFonts w:ascii="方正仿宋简体" w:eastAsia="方正仿宋简体" w:hAnsi="方正仿宋简体" w:cs="方正仿宋简体"/>
          <w:iCs/>
        </w:rPr>
      </w:pPr>
      <w:r w:rsidRPr="006A0506">
        <w:rPr>
          <w:rFonts w:ascii="方正仿宋简体" w:eastAsia="方正仿宋简体" w:hAnsi="方正仿宋简体" w:cs="方正仿宋简体" w:hint="eastAsia"/>
          <w:iCs/>
        </w:rPr>
        <w:t>基金管理人依照恪尽职守、诚实信用、谨慎勤勉的原则管理和运用基金财产，但不保证基金一定盈利，也不保证最低收益。基金投资者自依基金合同取得基金份额，即成为基金份额持有人和基金合同的当事人。</w:t>
      </w:r>
    </w:p>
    <w:p w:rsidR="000E28B4" w:rsidRPr="000E28B4" w:rsidRDefault="000E28B4">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5D350A" w:rsidRDefault="00542C9F" w:rsidP="005C5C71">
      <w:pPr>
        <w:numPr>
          <w:ilvl w:val="0"/>
          <w:numId w:val="10"/>
        </w:numPr>
        <w:spacing w:line="280" w:lineRule="exact"/>
        <w:outlineLvl w:val="0"/>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其他资料查询方式</w:t>
      </w:r>
    </w:p>
    <w:p w:rsidR="005D350A" w:rsidRDefault="005D350A" w:rsidP="005D350A">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以下资料详见基金管理人网站</w:t>
      </w:r>
      <w:r w:rsidR="00453D80">
        <w:rPr>
          <w:rFonts w:ascii="方正仿宋简体" w:eastAsia="方正仿宋简体" w:hAnsi="方正仿宋简体" w:cs="方正仿宋简体" w:hint="eastAsia"/>
          <w:iCs/>
        </w:rPr>
        <w:t>[www.ncfund.com.cn][</w:t>
      </w:r>
      <w:r>
        <w:rPr>
          <w:rFonts w:ascii="方正仿宋简体" w:eastAsia="方正仿宋简体" w:hAnsi="方正仿宋简体" w:cs="方正仿宋简体" w:hint="eastAsia"/>
          <w:iCs/>
        </w:rPr>
        <w:t>4008198866]</w:t>
      </w:r>
    </w:p>
    <w:p w:rsidR="005D350A" w:rsidRDefault="005D350A" w:rsidP="005D350A">
      <w:pPr>
        <w:numPr>
          <w:ilvl w:val="0"/>
          <w:numId w:val="28"/>
        </w:numPr>
        <w:spacing w:line="280" w:lineRule="exact"/>
        <w:rPr>
          <w:rFonts w:ascii="方正仿宋简体" w:eastAsia="方正仿宋简体" w:hAnsi="方正仿宋简体" w:cs="方正仿宋简体"/>
          <w:iCs/>
        </w:rPr>
      </w:pPr>
      <w:r>
        <w:rPr>
          <w:rFonts w:ascii="方正仿宋简体" w:eastAsia="方正仿宋简体" w:hAnsi="方正仿宋简体" w:cs="方正仿宋简体" w:hint="eastAsia"/>
          <w:iCs/>
        </w:rPr>
        <w:t>基金合同、托管协议、招募说明书</w:t>
      </w:r>
    </w:p>
    <w:p w:rsidR="005D350A" w:rsidRDefault="005D350A" w:rsidP="005D350A">
      <w:pPr>
        <w:numPr>
          <w:ilvl w:val="0"/>
          <w:numId w:val="28"/>
        </w:numPr>
        <w:spacing w:line="280" w:lineRule="exact"/>
        <w:rPr>
          <w:rFonts w:ascii="方正仿宋简体" w:eastAsia="方正仿宋简体" w:hAnsi="方正仿宋简体" w:cs="方正仿宋简体"/>
          <w:iCs/>
        </w:rPr>
      </w:pPr>
      <w:r>
        <w:rPr>
          <w:rFonts w:ascii="方正仿宋简体" w:eastAsia="方正仿宋简体" w:hAnsi="方正仿宋简体" w:cs="方正仿宋简体" w:hint="eastAsia"/>
          <w:iCs/>
        </w:rPr>
        <w:t>定期报告，包括基金季度报告、中期报告和年度报告</w:t>
      </w:r>
    </w:p>
    <w:p w:rsidR="005D350A" w:rsidRDefault="005D350A" w:rsidP="005D350A">
      <w:pPr>
        <w:numPr>
          <w:ilvl w:val="0"/>
          <w:numId w:val="28"/>
        </w:numPr>
        <w:spacing w:line="280" w:lineRule="exact"/>
        <w:rPr>
          <w:rFonts w:ascii="方正仿宋简体" w:eastAsia="方正仿宋简体" w:hAnsi="方正仿宋简体" w:cs="方正仿宋简体"/>
          <w:iCs/>
        </w:rPr>
      </w:pPr>
      <w:r>
        <w:rPr>
          <w:rFonts w:ascii="方正仿宋简体" w:eastAsia="方正仿宋简体" w:hAnsi="方正仿宋简体" w:cs="方正仿宋简体" w:hint="eastAsia"/>
          <w:iCs/>
        </w:rPr>
        <w:t>基金份额净值</w:t>
      </w:r>
    </w:p>
    <w:p w:rsidR="005D350A" w:rsidRDefault="005D350A" w:rsidP="005D350A">
      <w:pPr>
        <w:numPr>
          <w:ilvl w:val="0"/>
          <w:numId w:val="28"/>
        </w:numPr>
        <w:spacing w:line="280" w:lineRule="exact"/>
        <w:rPr>
          <w:rFonts w:ascii="方正仿宋简体" w:eastAsia="方正仿宋简体" w:hAnsi="方正仿宋简体" w:cs="方正仿宋简体"/>
          <w:iCs/>
        </w:rPr>
      </w:pPr>
      <w:r>
        <w:rPr>
          <w:rFonts w:ascii="方正仿宋简体" w:eastAsia="方正仿宋简体" w:hAnsi="方正仿宋简体" w:cs="方正仿宋简体" w:hint="eastAsia"/>
          <w:iCs/>
        </w:rPr>
        <w:t>基金销售机构及联系方式</w:t>
      </w:r>
    </w:p>
    <w:p w:rsidR="005D350A" w:rsidRDefault="005D350A" w:rsidP="005D350A">
      <w:pPr>
        <w:numPr>
          <w:ilvl w:val="0"/>
          <w:numId w:val="28"/>
        </w:numPr>
        <w:spacing w:line="280" w:lineRule="exact"/>
        <w:rPr>
          <w:rFonts w:ascii="方正仿宋简体" w:eastAsia="方正仿宋简体" w:hAnsi="方正仿宋简体" w:cs="方正仿宋简体"/>
          <w:iCs/>
        </w:rPr>
      </w:pPr>
      <w:r>
        <w:rPr>
          <w:rFonts w:ascii="方正仿宋简体" w:eastAsia="方正仿宋简体" w:hAnsi="方正仿宋简体" w:cs="方正仿宋简体" w:hint="eastAsia"/>
          <w:iCs/>
        </w:rPr>
        <w:t>其他重要资料</w:t>
      </w:r>
    </w:p>
    <w:p w:rsidR="005D350A" w:rsidRDefault="005D350A" w:rsidP="005C5C71">
      <w:pPr>
        <w:numPr>
          <w:ilvl w:val="0"/>
          <w:numId w:val="10"/>
        </w:numPr>
        <w:spacing w:line="280" w:lineRule="exact"/>
        <w:outlineLvl w:val="0"/>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其他情况说明</w:t>
      </w:r>
    </w:p>
    <w:p w:rsidR="00225B28" w:rsidRDefault="007A55B5" w:rsidP="007A55B5">
      <w:pPr>
        <w:autoSpaceDE w:val="0"/>
        <w:autoSpaceDN w:val="0"/>
        <w:adjustRightInd w:val="0"/>
        <w:spacing w:line="280" w:lineRule="exact"/>
        <w:ind w:left="420"/>
        <w:jc w:val="left"/>
        <w:rPr>
          <w:rFonts w:ascii="方正仿宋简体" w:eastAsia="方正仿宋简体"/>
        </w:rPr>
      </w:pPr>
      <w:r>
        <w:rPr>
          <w:rFonts w:ascii="方正仿宋简体" w:eastAsia="方正仿宋简体"/>
        </w:rPr>
        <w:t>无</w:t>
      </w:r>
      <w:r>
        <w:rPr>
          <w:rFonts w:ascii="方正仿宋简体" w:eastAsia="方正仿宋简体" w:hint="eastAsia"/>
        </w:rPr>
        <w:t>。</w:t>
      </w:r>
    </w:p>
    <w:sectPr w:rsidR="00225B28" w:rsidSect="00DB188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11D4" w:rsidRDefault="00E011D4" w:rsidP="0092395F">
      <w:r>
        <w:separator/>
      </w:r>
    </w:p>
  </w:endnote>
  <w:endnote w:type="continuationSeparator" w:id="0">
    <w:p w:rsidR="00E011D4" w:rsidRDefault="00E011D4" w:rsidP="0092395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
    <w:charset w:val="86"/>
    <w:family w:val="modern"/>
    <w:pitch w:val="fixed"/>
    <w:sig w:usb0="800002BF" w:usb1="38CF7CFA" w:usb2="00000016" w:usb3="00000000" w:csb0="00040001" w:csb1="00000000"/>
  </w:font>
  <w:font w:name="Calibri">
    <w:panose1 w:val="020F0502020204030204"/>
    <w:charset w:val="00"/>
    <w:family w:val="swiss"/>
    <w:pitch w:val="variable"/>
    <w:sig w:usb0="A00002EF" w:usb1="4000207B" w:usb2="00000000" w:usb3="00000000" w:csb0="0000009F" w:csb1="00000000"/>
  </w:font>
  <w:font w:name="方正仿宋简体">
    <w:altName w:val="微软雅黑"/>
    <w:charset w:val="86"/>
    <w:family w:val="auto"/>
    <w:pitch w:val="default"/>
    <w:sig w:usb0="00000000" w:usb1="00000000" w:usb2="0000000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方正黑体简体">
    <w:altName w:val="微软雅黑"/>
    <w:charset w:val="86"/>
    <w:family w:val="auto"/>
    <w:pitch w:val="default"/>
    <w:sig w:usb0="00000000" w:usb1="080E0000" w:usb2="0000000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11D4" w:rsidRDefault="00E011D4" w:rsidP="0092395F">
      <w:r>
        <w:separator/>
      </w:r>
    </w:p>
  </w:footnote>
  <w:footnote w:type="continuationSeparator" w:id="0">
    <w:p w:rsidR="00E011D4" w:rsidRDefault="00E011D4" w:rsidP="009239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12FE4B0C"/>
    <w:multiLevelType w:val="hybridMultilevel"/>
    <w:tmpl w:val="7C9AB81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B716C97"/>
    <w:multiLevelType w:val="multilevel"/>
    <w:tmpl w:val="71147312"/>
    <w:lvl w:ilvl="0">
      <w:start w:val="1"/>
      <w:numFmt w:val="decimal"/>
      <w:pStyle w:val="a"/>
      <w:lvlText w:val="§%1"/>
      <w:lvlJc w:val="left"/>
      <w:pPr>
        <w:ind w:left="420" w:hanging="420"/>
      </w:pPr>
      <w:rPr>
        <w:rFonts w:eastAsia="宋体" w:hint="default"/>
        <w:b/>
        <w:i w:val="0"/>
        <w:sz w:val="28"/>
      </w:rPr>
    </w:lvl>
    <w:lvl w:ilvl="1">
      <w:start w:val="1"/>
      <w:numFmt w:val="decimal"/>
      <w:pStyle w:val="a0"/>
      <w:suff w:val="space"/>
      <w:lvlText w:val="%1.%2"/>
      <w:lvlJc w:val="left"/>
      <w:pPr>
        <w:ind w:left="284" w:hanging="284"/>
      </w:pPr>
      <w:rPr>
        <w:rFonts w:hint="eastAsia"/>
      </w:rPr>
    </w:lvl>
    <w:lvl w:ilvl="2">
      <w:start w:val="1"/>
      <w:numFmt w:val="decimal"/>
      <w:pStyle w:val="a1"/>
      <w:suff w:val="space"/>
      <w:lvlText w:val="%1.%2.%3"/>
      <w:lvlJc w:val="left"/>
      <w:pPr>
        <w:ind w:left="284" w:hanging="284"/>
      </w:pPr>
      <w:rPr>
        <w:rFonts w:hint="eastAsia"/>
      </w:rPr>
    </w:lvl>
    <w:lvl w:ilvl="3">
      <w:start w:val="1"/>
      <w:numFmt w:val="decimal"/>
      <w:pStyle w:val="a2"/>
      <w:suff w:val="space"/>
      <w:lvlText w:val="%1.%2.%3.%4"/>
      <w:lvlJc w:val="left"/>
      <w:pPr>
        <w:ind w:left="284" w:hanging="284"/>
      </w:pPr>
      <w:rPr>
        <w:rFonts w:hint="eastAsia"/>
      </w:rPr>
    </w:lvl>
    <w:lvl w:ilvl="4">
      <w:start w:val="1"/>
      <w:numFmt w:val="decimal"/>
      <w:pStyle w:val="a3"/>
      <w:suff w:val="space"/>
      <w:lvlText w:val="%1.%2.%3.%4.%5"/>
      <w:lvlJc w:val="left"/>
      <w:pPr>
        <w:ind w:left="284" w:hanging="284"/>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
    <w:nsid w:val="1ED76697"/>
    <w:multiLevelType w:val="hybridMultilevel"/>
    <w:tmpl w:val="D3A4ED3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0D645D5"/>
    <w:multiLevelType w:val="hybridMultilevel"/>
    <w:tmpl w:val="185A7AA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B520771"/>
    <w:multiLevelType w:val="hybridMultilevel"/>
    <w:tmpl w:val="5FBC32E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nsid w:val="3BE92779"/>
    <w:multiLevelType w:val="hybridMultilevel"/>
    <w:tmpl w:val="ECF8858C"/>
    <w:lvl w:ilvl="0" w:tplc="7BA85C10">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D261F86"/>
    <w:multiLevelType w:val="hybridMultilevel"/>
    <w:tmpl w:val="4D7ABA1E"/>
    <w:lvl w:ilvl="0" w:tplc="D16CA794">
      <w:start w:val="1"/>
      <w:numFmt w:val="japaneseCounting"/>
      <w:lvlText w:val="（%1）"/>
      <w:lvlJc w:val="left"/>
      <w:pPr>
        <w:ind w:left="765" w:hanging="7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FE14934"/>
    <w:multiLevelType w:val="hybridMultilevel"/>
    <w:tmpl w:val="085C19D2"/>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1C90ECC"/>
    <w:multiLevelType w:val="hybridMultilevel"/>
    <w:tmpl w:val="CB2AB492"/>
    <w:lvl w:ilvl="0" w:tplc="0409000F">
      <w:start w:val="1"/>
      <w:numFmt w:val="decimal"/>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0">
    <w:nsid w:val="4D5A355F"/>
    <w:multiLevelType w:val="hybridMultilevel"/>
    <w:tmpl w:val="95ECFCF8"/>
    <w:lvl w:ilvl="0" w:tplc="266A3D90">
      <w:start w:val="1"/>
      <w:numFmt w:val="decimal"/>
      <w:lvlText w:val="%1."/>
      <w:lvlJc w:val="left"/>
      <w:pPr>
        <w:ind w:left="42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1">
    <w:nsid w:val="53134E67"/>
    <w:multiLevelType w:val="hybridMultilevel"/>
    <w:tmpl w:val="351E4340"/>
    <w:lvl w:ilvl="0" w:tplc="266A3D90">
      <w:start w:val="1"/>
      <w:numFmt w:val="decimal"/>
      <w:suff w:val="space"/>
      <w:lvlText w:val="%1."/>
      <w:lvlJc w:val="left"/>
      <w:pPr>
        <w:ind w:left="42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2">
    <w:nsid w:val="5AC33CF0"/>
    <w:multiLevelType w:val="singleLevel"/>
    <w:tmpl w:val="D92264B0"/>
    <w:lvl w:ilvl="0">
      <w:start w:val="1"/>
      <w:numFmt w:val="chineseCounting"/>
      <w:suff w:val="nothing"/>
      <w:lvlText w:val="%1、"/>
      <w:lvlJc w:val="left"/>
      <w:rPr>
        <w:rFonts w:asciiTheme="minorEastAsia" w:eastAsiaTheme="minorEastAsia" w:hAnsiTheme="minorEastAsia"/>
      </w:rPr>
    </w:lvl>
  </w:abstractNum>
  <w:abstractNum w:abstractNumId="13">
    <w:nsid w:val="5C0D21E1"/>
    <w:multiLevelType w:val="hybridMultilevel"/>
    <w:tmpl w:val="48A8A3A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C21FE0E"/>
    <w:multiLevelType w:val="singleLevel"/>
    <w:tmpl w:val="5C21FE0E"/>
    <w:lvl w:ilvl="0">
      <w:start w:val="2"/>
      <w:numFmt w:val="chineseCounting"/>
      <w:suff w:val="nothing"/>
      <w:lvlText w:val="（%1）"/>
      <w:lvlJc w:val="left"/>
    </w:lvl>
  </w:abstractNum>
  <w:abstractNum w:abstractNumId="15">
    <w:nsid w:val="61DC744B"/>
    <w:multiLevelType w:val="hybridMultilevel"/>
    <w:tmpl w:val="89C483E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65BF0EEF"/>
    <w:multiLevelType w:val="hybridMultilevel"/>
    <w:tmpl w:val="35B27F62"/>
    <w:lvl w:ilvl="0" w:tplc="0A2C82EE">
      <w:start w:val="1"/>
      <w:numFmt w:val="decimal"/>
      <w:suff w:val="space"/>
      <w:lvlText w:val="%1."/>
      <w:lvlJc w:val="left"/>
      <w:pPr>
        <w:ind w:left="42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7">
    <w:nsid w:val="6B4E644F"/>
    <w:multiLevelType w:val="hybridMultilevel"/>
    <w:tmpl w:val="CAEEB7E6"/>
    <w:lvl w:ilvl="0" w:tplc="86862142">
      <w:start w:val="1"/>
      <w:numFmt w:val="chineseCountingThousand"/>
      <w:lvlText w:val="%1."/>
      <w:lvlJc w:val="left"/>
      <w:pPr>
        <w:ind w:left="420" w:hanging="420"/>
      </w:pPr>
      <w:rPr>
        <w:rFonts w:ascii="仿宋" w:eastAsia="仿宋" w:hAnsi="仿宋" w:hint="eastAsia"/>
        <w:b/>
        <w:sz w:val="28"/>
      </w:rPr>
    </w:lvl>
    <w:lvl w:ilvl="1" w:tplc="04090017">
      <w:start w:val="1"/>
      <w:numFmt w:val="chineseCountingThousand"/>
      <w:lvlText w:val="(%2)"/>
      <w:lvlJc w:val="left"/>
      <w:pPr>
        <w:ind w:left="562"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75EA52E6"/>
    <w:multiLevelType w:val="hybridMultilevel"/>
    <w:tmpl w:val="B6123D46"/>
    <w:lvl w:ilvl="0" w:tplc="4A7A9DF2">
      <w:start w:val="1"/>
      <w:numFmt w:val="decimal"/>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76655B42"/>
    <w:multiLevelType w:val="hybridMultilevel"/>
    <w:tmpl w:val="0642784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7D0D3582"/>
    <w:multiLevelType w:val="hybridMultilevel"/>
    <w:tmpl w:val="256C1A40"/>
    <w:lvl w:ilvl="0" w:tplc="898E9CDC">
      <w:start w:val="1"/>
      <w:numFmt w:val="chineseCountingThousand"/>
      <w:suff w:val="space"/>
      <w:lvlText w:val="(%1)"/>
      <w:lvlJc w:val="left"/>
      <w:pPr>
        <w:ind w:left="284" w:hanging="284"/>
      </w:pPr>
      <w:rPr>
        <w:rFonts w:asciiTheme="minorEastAsia" w:eastAsia="宋体" w:hAnsiTheme="minorEastAsia" w:hint="eastAsia"/>
        <w:b/>
      </w:rPr>
    </w:lvl>
    <w:lvl w:ilvl="1" w:tplc="7BA85C10">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7F8038E5"/>
    <w:multiLevelType w:val="hybridMultilevel"/>
    <w:tmpl w:val="E0723436"/>
    <w:lvl w:ilvl="0" w:tplc="04090001">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17"/>
  </w:num>
  <w:num w:numId="7">
    <w:abstractNumId w:val="8"/>
  </w:num>
  <w:num w:numId="8">
    <w:abstractNumId w:val="13"/>
  </w:num>
  <w:num w:numId="9">
    <w:abstractNumId w:val="19"/>
  </w:num>
  <w:num w:numId="10">
    <w:abstractNumId w:val="12"/>
  </w:num>
  <w:num w:numId="11">
    <w:abstractNumId w:val="14"/>
  </w:num>
  <w:num w:numId="12">
    <w:abstractNumId w:val="0"/>
  </w:num>
  <w:num w:numId="13">
    <w:abstractNumId w:val="3"/>
  </w:num>
  <w:num w:numId="14">
    <w:abstractNumId w:val="4"/>
  </w:num>
  <w:num w:numId="15">
    <w:abstractNumId w:val="20"/>
  </w:num>
  <w:num w:numId="16">
    <w:abstractNumId w:val="7"/>
  </w:num>
  <w:num w:numId="17">
    <w:abstractNumId w:val="15"/>
  </w:num>
  <w:num w:numId="18">
    <w:abstractNumId w:val="9"/>
  </w:num>
  <w:num w:numId="19">
    <w:abstractNumId w:val="11"/>
  </w:num>
  <w:num w:numId="20">
    <w:abstractNumId w:val="1"/>
  </w:num>
  <w:num w:numId="21">
    <w:abstractNumId w:val="6"/>
  </w:num>
  <w:num w:numId="22">
    <w:abstractNumId w:val="10"/>
  </w:num>
  <w:num w:numId="23">
    <w:abstractNumId w:val="16"/>
  </w:num>
  <w:num w:numId="24">
    <w:abstractNumId w:val="18"/>
  </w:num>
  <w:num w:numId="25">
    <w:abstractNumId w:val="5"/>
  </w:num>
  <w:num w:numId="26">
    <w:abstractNumId w:val="12"/>
    <w:lvlOverride w:ilvl="0">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Disclosure_Version" w:val="true"/>
  </w:docVars>
  <w:rsids>
    <w:rsidRoot w:val="007B3B56"/>
    <w:rsid w:val="00002B50"/>
    <w:rsid w:val="00003561"/>
    <w:rsid w:val="000035EA"/>
    <w:rsid w:val="00004180"/>
    <w:rsid w:val="00006EAF"/>
    <w:rsid w:val="00017721"/>
    <w:rsid w:val="00022B9A"/>
    <w:rsid w:val="00030595"/>
    <w:rsid w:val="000431A9"/>
    <w:rsid w:val="00045BE4"/>
    <w:rsid w:val="00047F4E"/>
    <w:rsid w:val="0005053E"/>
    <w:rsid w:val="00053B2F"/>
    <w:rsid w:val="00054711"/>
    <w:rsid w:val="000567E4"/>
    <w:rsid w:val="0005794F"/>
    <w:rsid w:val="00060B05"/>
    <w:rsid w:val="00062543"/>
    <w:rsid w:val="0006363D"/>
    <w:rsid w:val="0006546B"/>
    <w:rsid w:val="00065CA6"/>
    <w:rsid w:val="0006758E"/>
    <w:rsid w:val="000676AA"/>
    <w:rsid w:val="00070564"/>
    <w:rsid w:val="00076810"/>
    <w:rsid w:val="00077F97"/>
    <w:rsid w:val="0008034A"/>
    <w:rsid w:val="0008034B"/>
    <w:rsid w:val="00080C9E"/>
    <w:rsid w:val="00086076"/>
    <w:rsid w:val="00090E1B"/>
    <w:rsid w:val="00092664"/>
    <w:rsid w:val="0009280C"/>
    <w:rsid w:val="00094F82"/>
    <w:rsid w:val="00095DA1"/>
    <w:rsid w:val="00096ECA"/>
    <w:rsid w:val="000A25FC"/>
    <w:rsid w:val="000A27CB"/>
    <w:rsid w:val="000A4485"/>
    <w:rsid w:val="000A71C1"/>
    <w:rsid w:val="000A7FF9"/>
    <w:rsid w:val="000B672F"/>
    <w:rsid w:val="000C0D50"/>
    <w:rsid w:val="000C3D2A"/>
    <w:rsid w:val="000C3D96"/>
    <w:rsid w:val="000C4A85"/>
    <w:rsid w:val="000C52B6"/>
    <w:rsid w:val="000C6C14"/>
    <w:rsid w:val="000D36AB"/>
    <w:rsid w:val="000D3D44"/>
    <w:rsid w:val="000D4535"/>
    <w:rsid w:val="000D516E"/>
    <w:rsid w:val="000D6088"/>
    <w:rsid w:val="000D6D52"/>
    <w:rsid w:val="000D6F1A"/>
    <w:rsid w:val="000D7961"/>
    <w:rsid w:val="000D7CDD"/>
    <w:rsid w:val="000D7E62"/>
    <w:rsid w:val="000E0465"/>
    <w:rsid w:val="000E1B15"/>
    <w:rsid w:val="000E28B4"/>
    <w:rsid w:val="000E3CDB"/>
    <w:rsid w:val="000E56AA"/>
    <w:rsid w:val="000E7720"/>
    <w:rsid w:val="000F35E6"/>
    <w:rsid w:val="000F3A56"/>
    <w:rsid w:val="000F3B8E"/>
    <w:rsid w:val="000F4870"/>
    <w:rsid w:val="000F4ADF"/>
    <w:rsid w:val="000F600C"/>
    <w:rsid w:val="000F650C"/>
    <w:rsid w:val="00101AE7"/>
    <w:rsid w:val="00101E69"/>
    <w:rsid w:val="00103453"/>
    <w:rsid w:val="00104223"/>
    <w:rsid w:val="001042DD"/>
    <w:rsid w:val="00104B7B"/>
    <w:rsid w:val="001064D8"/>
    <w:rsid w:val="00106EB0"/>
    <w:rsid w:val="00107BDE"/>
    <w:rsid w:val="00107C68"/>
    <w:rsid w:val="0011161D"/>
    <w:rsid w:val="00111992"/>
    <w:rsid w:val="00114B35"/>
    <w:rsid w:val="00116CA0"/>
    <w:rsid w:val="00117831"/>
    <w:rsid w:val="00120454"/>
    <w:rsid w:val="00120E44"/>
    <w:rsid w:val="00124437"/>
    <w:rsid w:val="0012454F"/>
    <w:rsid w:val="001302B4"/>
    <w:rsid w:val="00132A67"/>
    <w:rsid w:val="0013367D"/>
    <w:rsid w:val="00135118"/>
    <w:rsid w:val="001351D1"/>
    <w:rsid w:val="00135D07"/>
    <w:rsid w:val="001369E1"/>
    <w:rsid w:val="00137185"/>
    <w:rsid w:val="0014192C"/>
    <w:rsid w:val="00142D38"/>
    <w:rsid w:val="00142FAC"/>
    <w:rsid w:val="00143189"/>
    <w:rsid w:val="00144C18"/>
    <w:rsid w:val="001506D6"/>
    <w:rsid w:val="00150A06"/>
    <w:rsid w:val="00150F72"/>
    <w:rsid w:val="0015352E"/>
    <w:rsid w:val="001546D4"/>
    <w:rsid w:val="001552A2"/>
    <w:rsid w:val="00160476"/>
    <w:rsid w:val="001608BD"/>
    <w:rsid w:val="00160EB7"/>
    <w:rsid w:val="00163632"/>
    <w:rsid w:val="0016394B"/>
    <w:rsid w:val="00165561"/>
    <w:rsid w:val="001664CE"/>
    <w:rsid w:val="00166CB3"/>
    <w:rsid w:val="00171A01"/>
    <w:rsid w:val="00172DE2"/>
    <w:rsid w:val="00174334"/>
    <w:rsid w:val="00177627"/>
    <w:rsid w:val="00177C56"/>
    <w:rsid w:val="00183372"/>
    <w:rsid w:val="00184B5C"/>
    <w:rsid w:val="00190373"/>
    <w:rsid w:val="00191262"/>
    <w:rsid w:val="0019128C"/>
    <w:rsid w:val="001916CF"/>
    <w:rsid w:val="00193370"/>
    <w:rsid w:val="00196878"/>
    <w:rsid w:val="001A28F4"/>
    <w:rsid w:val="001A450C"/>
    <w:rsid w:val="001A45B4"/>
    <w:rsid w:val="001A4E24"/>
    <w:rsid w:val="001A4FC5"/>
    <w:rsid w:val="001A77C2"/>
    <w:rsid w:val="001A7E7C"/>
    <w:rsid w:val="001B2C1A"/>
    <w:rsid w:val="001C19CC"/>
    <w:rsid w:val="001C1CAE"/>
    <w:rsid w:val="001C1D13"/>
    <w:rsid w:val="001C27FC"/>
    <w:rsid w:val="001C285F"/>
    <w:rsid w:val="001C4114"/>
    <w:rsid w:val="001D1811"/>
    <w:rsid w:val="001D31F4"/>
    <w:rsid w:val="001D4A4E"/>
    <w:rsid w:val="001D4FBE"/>
    <w:rsid w:val="001D6EC7"/>
    <w:rsid w:val="001E0982"/>
    <w:rsid w:val="001E27BF"/>
    <w:rsid w:val="001E3862"/>
    <w:rsid w:val="001E3F34"/>
    <w:rsid w:val="001E61DC"/>
    <w:rsid w:val="001E6DE4"/>
    <w:rsid w:val="001F33FD"/>
    <w:rsid w:val="001F3AEC"/>
    <w:rsid w:val="001F63FB"/>
    <w:rsid w:val="001F6C89"/>
    <w:rsid w:val="001F7FD1"/>
    <w:rsid w:val="0020147E"/>
    <w:rsid w:val="00205053"/>
    <w:rsid w:val="002056E7"/>
    <w:rsid w:val="00206017"/>
    <w:rsid w:val="00206D9B"/>
    <w:rsid w:val="00211393"/>
    <w:rsid w:val="002113D2"/>
    <w:rsid w:val="00216A96"/>
    <w:rsid w:val="00221357"/>
    <w:rsid w:val="0022157A"/>
    <w:rsid w:val="00221969"/>
    <w:rsid w:val="0022206C"/>
    <w:rsid w:val="002226D8"/>
    <w:rsid w:val="00222EBF"/>
    <w:rsid w:val="00223123"/>
    <w:rsid w:val="00223E6A"/>
    <w:rsid w:val="0022487F"/>
    <w:rsid w:val="00225B28"/>
    <w:rsid w:val="00226C77"/>
    <w:rsid w:val="00226D4F"/>
    <w:rsid w:val="002271D8"/>
    <w:rsid w:val="0023065E"/>
    <w:rsid w:val="00233FB5"/>
    <w:rsid w:val="002340C5"/>
    <w:rsid w:val="002343D4"/>
    <w:rsid w:val="002349DA"/>
    <w:rsid w:val="0023676C"/>
    <w:rsid w:val="00236E18"/>
    <w:rsid w:val="00240A33"/>
    <w:rsid w:val="002419CF"/>
    <w:rsid w:val="00243408"/>
    <w:rsid w:val="00243552"/>
    <w:rsid w:val="00243C17"/>
    <w:rsid w:val="0024571E"/>
    <w:rsid w:val="00246C1A"/>
    <w:rsid w:val="00247F81"/>
    <w:rsid w:val="00250329"/>
    <w:rsid w:val="00252FAA"/>
    <w:rsid w:val="00253E38"/>
    <w:rsid w:val="00256B43"/>
    <w:rsid w:val="00257D0E"/>
    <w:rsid w:val="00257F1F"/>
    <w:rsid w:val="00261721"/>
    <w:rsid w:val="00266322"/>
    <w:rsid w:val="00267819"/>
    <w:rsid w:val="00270CFD"/>
    <w:rsid w:val="002724DA"/>
    <w:rsid w:val="0027292B"/>
    <w:rsid w:val="00273BF8"/>
    <w:rsid w:val="00274372"/>
    <w:rsid w:val="002761C7"/>
    <w:rsid w:val="00276226"/>
    <w:rsid w:val="002767C0"/>
    <w:rsid w:val="0027718A"/>
    <w:rsid w:val="0028090B"/>
    <w:rsid w:val="0028191B"/>
    <w:rsid w:val="00284817"/>
    <w:rsid w:val="00287867"/>
    <w:rsid w:val="00291912"/>
    <w:rsid w:val="00292B75"/>
    <w:rsid w:val="00293DD2"/>
    <w:rsid w:val="002956E1"/>
    <w:rsid w:val="00296495"/>
    <w:rsid w:val="00296A84"/>
    <w:rsid w:val="00296F28"/>
    <w:rsid w:val="002A049B"/>
    <w:rsid w:val="002A2023"/>
    <w:rsid w:val="002A273F"/>
    <w:rsid w:val="002A3B92"/>
    <w:rsid w:val="002A3CBD"/>
    <w:rsid w:val="002A4280"/>
    <w:rsid w:val="002A56F1"/>
    <w:rsid w:val="002B0143"/>
    <w:rsid w:val="002B3AF5"/>
    <w:rsid w:val="002B4008"/>
    <w:rsid w:val="002B4E46"/>
    <w:rsid w:val="002B7FB5"/>
    <w:rsid w:val="002C001B"/>
    <w:rsid w:val="002C32E0"/>
    <w:rsid w:val="002C6C9F"/>
    <w:rsid w:val="002C7128"/>
    <w:rsid w:val="002C7D40"/>
    <w:rsid w:val="002C7DBB"/>
    <w:rsid w:val="002D3460"/>
    <w:rsid w:val="002D670B"/>
    <w:rsid w:val="002E1107"/>
    <w:rsid w:val="002E1288"/>
    <w:rsid w:val="002E2B66"/>
    <w:rsid w:val="002E2DCB"/>
    <w:rsid w:val="002E4201"/>
    <w:rsid w:val="002E6B76"/>
    <w:rsid w:val="002F0445"/>
    <w:rsid w:val="002F17B6"/>
    <w:rsid w:val="002F1D8A"/>
    <w:rsid w:val="002F22A9"/>
    <w:rsid w:val="002F280A"/>
    <w:rsid w:val="002F3F0D"/>
    <w:rsid w:val="002F55A5"/>
    <w:rsid w:val="002F715D"/>
    <w:rsid w:val="002F7A30"/>
    <w:rsid w:val="00301A05"/>
    <w:rsid w:val="00305382"/>
    <w:rsid w:val="00305DFF"/>
    <w:rsid w:val="00314524"/>
    <w:rsid w:val="00314550"/>
    <w:rsid w:val="00317576"/>
    <w:rsid w:val="00322043"/>
    <w:rsid w:val="003253B4"/>
    <w:rsid w:val="0032576F"/>
    <w:rsid w:val="0032656E"/>
    <w:rsid w:val="00327198"/>
    <w:rsid w:val="003310CE"/>
    <w:rsid w:val="00332BE9"/>
    <w:rsid w:val="00332EC1"/>
    <w:rsid w:val="00333E7C"/>
    <w:rsid w:val="00335522"/>
    <w:rsid w:val="00335C3C"/>
    <w:rsid w:val="00335FDC"/>
    <w:rsid w:val="00342C51"/>
    <w:rsid w:val="00342D67"/>
    <w:rsid w:val="00343096"/>
    <w:rsid w:val="0034383A"/>
    <w:rsid w:val="00343D44"/>
    <w:rsid w:val="00345CEC"/>
    <w:rsid w:val="00351D5C"/>
    <w:rsid w:val="00351F88"/>
    <w:rsid w:val="00351FDD"/>
    <w:rsid w:val="0035595E"/>
    <w:rsid w:val="00360E9D"/>
    <w:rsid w:val="00364FA7"/>
    <w:rsid w:val="003665BF"/>
    <w:rsid w:val="00367E76"/>
    <w:rsid w:val="00370C84"/>
    <w:rsid w:val="003712CC"/>
    <w:rsid w:val="00373CC2"/>
    <w:rsid w:val="003744FE"/>
    <w:rsid w:val="00382845"/>
    <w:rsid w:val="00386A7F"/>
    <w:rsid w:val="00390A07"/>
    <w:rsid w:val="00390F2A"/>
    <w:rsid w:val="0039181C"/>
    <w:rsid w:val="00396FFE"/>
    <w:rsid w:val="003A005F"/>
    <w:rsid w:val="003A0571"/>
    <w:rsid w:val="003A0ACD"/>
    <w:rsid w:val="003A1F45"/>
    <w:rsid w:val="003A2523"/>
    <w:rsid w:val="003A56C9"/>
    <w:rsid w:val="003B0BD0"/>
    <w:rsid w:val="003B0FB4"/>
    <w:rsid w:val="003B2295"/>
    <w:rsid w:val="003B3103"/>
    <w:rsid w:val="003B3B69"/>
    <w:rsid w:val="003B4A12"/>
    <w:rsid w:val="003B5F1C"/>
    <w:rsid w:val="003B7E49"/>
    <w:rsid w:val="003C1C5E"/>
    <w:rsid w:val="003C570B"/>
    <w:rsid w:val="003C6D4B"/>
    <w:rsid w:val="003C6FDD"/>
    <w:rsid w:val="003C780D"/>
    <w:rsid w:val="003D0705"/>
    <w:rsid w:val="003D7DAC"/>
    <w:rsid w:val="003E0BE3"/>
    <w:rsid w:val="003E11A4"/>
    <w:rsid w:val="003E4F18"/>
    <w:rsid w:val="003E66A5"/>
    <w:rsid w:val="003E78BD"/>
    <w:rsid w:val="003E7F21"/>
    <w:rsid w:val="003F42E1"/>
    <w:rsid w:val="003F56C3"/>
    <w:rsid w:val="003F6EF3"/>
    <w:rsid w:val="00401E99"/>
    <w:rsid w:val="00402B28"/>
    <w:rsid w:val="00403885"/>
    <w:rsid w:val="00415142"/>
    <w:rsid w:val="004157C8"/>
    <w:rsid w:val="00417B28"/>
    <w:rsid w:val="00420623"/>
    <w:rsid w:val="00421441"/>
    <w:rsid w:val="004225D8"/>
    <w:rsid w:val="00430064"/>
    <w:rsid w:val="00430BE8"/>
    <w:rsid w:val="0043184A"/>
    <w:rsid w:val="004335EC"/>
    <w:rsid w:val="004348A5"/>
    <w:rsid w:val="00435F11"/>
    <w:rsid w:val="00437CC4"/>
    <w:rsid w:val="0044078C"/>
    <w:rsid w:val="00440C9B"/>
    <w:rsid w:val="00440F0C"/>
    <w:rsid w:val="004428A7"/>
    <w:rsid w:val="00444874"/>
    <w:rsid w:val="0044609F"/>
    <w:rsid w:val="004504DB"/>
    <w:rsid w:val="0045198C"/>
    <w:rsid w:val="00453D80"/>
    <w:rsid w:val="00456164"/>
    <w:rsid w:val="00457457"/>
    <w:rsid w:val="00462FAF"/>
    <w:rsid w:val="00463DA7"/>
    <w:rsid w:val="00464A9D"/>
    <w:rsid w:val="00464C4E"/>
    <w:rsid w:val="00466F82"/>
    <w:rsid w:val="004709CA"/>
    <w:rsid w:val="004727B4"/>
    <w:rsid w:val="00475599"/>
    <w:rsid w:val="00475E21"/>
    <w:rsid w:val="004761F4"/>
    <w:rsid w:val="00477547"/>
    <w:rsid w:val="00487376"/>
    <w:rsid w:val="00487514"/>
    <w:rsid w:val="00494113"/>
    <w:rsid w:val="004972B7"/>
    <w:rsid w:val="00497942"/>
    <w:rsid w:val="004A03E3"/>
    <w:rsid w:val="004A166C"/>
    <w:rsid w:val="004A1CE8"/>
    <w:rsid w:val="004A214B"/>
    <w:rsid w:val="004A28A8"/>
    <w:rsid w:val="004A3A2B"/>
    <w:rsid w:val="004A47CE"/>
    <w:rsid w:val="004A52F2"/>
    <w:rsid w:val="004A6488"/>
    <w:rsid w:val="004B35A1"/>
    <w:rsid w:val="004B5C77"/>
    <w:rsid w:val="004B5D91"/>
    <w:rsid w:val="004C2008"/>
    <w:rsid w:val="004C4116"/>
    <w:rsid w:val="004C6220"/>
    <w:rsid w:val="004D1BE1"/>
    <w:rsid w:val="004D1CFD"/>
    <w:rsid w:val="004D5927"/>
    <w:rsid w:val="004E0E97"/>
    <w:rsid w:val="004E1F62"/>
    <w:rsid w:val="004E29D3"/>
    <w:rsid w:val="004E46D3"/>
    <w:rsid w:val="004E5A80"/>
    <w:rsid w:val="004E736F"/>
    <w:rsid w:val="004E7553"/>
    <w:rsid w:val="004F157A"/>
    <w:rsid w:val="004F21FC"/>
    <w:rsid w:val="004F2EA3"/>
    <w:rsid w:val="004F38D7"/>
    <w:rsid w:val="004F4959"/>
    <w:rsid w:val="004F51E5"/>
    <w:rsid w:val="004F7753"/>
    <w:rsid w:val="0050081D"/>
    <w:rsid w:val="00502133"/>
    <w:rsid w:val="005026AC"/>
    <w:rsid w:val="005033AE"/>
    <w:rsid w:val="0050479A"/>
    <w:rsid w:val="00514055"/>
    <w:rsid w:val="00514D50"/>
    <w:rsid w:val="00516B14"/>
    <w:rsid w:val="00516E4A"/>
    <w:rsid w:val="005173DE"/>
    <w:rsid w:val="0052053C"/>
    <w:rsid w:val="00522E7E"/>
    <w:rsid w:val="00523969"/>
    <w:rsid w:val="00523DE3"/>
    <w:rsid w:val="00524640"/>
    <w:rsid w:val="00526D03"/>
    <w:rsid w:val="005303D3"/>
    <w:rsid w:val="00530D39"/>
    <w:rsid w:val="00532E71"/>
    <w:rsid w:val="005341C9"/>
    <w:rsid w:val="00536BCB"/>
    <w:rsid w:val="00537A33"/>
    <w:rsid w:val="00537D22"/>
    <w:rsid w:val="00542C9F"/>
    <w:rsid w:val="0054307D"/>
    <w:rsid w:val="00543811"/>
    <w:rsid w:val="005442A7"/>
    <w:rsid w:val="005445C1"/>
    <w:rsid w:val="00544EBD"/>
    <w:rsid w:val="00550A83"/>
    <w:rsid w:val="00550DFF"/>
    <w:rsid w:val="0055285B"/>
    <w:rsid w:val="00554969"/>
    <w:rsid w:val="00555C70"/>
    <w:rsid w:val="005622C8"/>
    <w:rsid w:val="005626F8"/>
    <w:rsid w:val="00562E85"/>
    <w:rsid w:val="00563BCF"/>
    <w:rsid w:val="00563EC0"/>
    <w:rsid w:val="00565C2C"/>
    <w:rsid w:val="00572E76"/>
    <w:rsid w:val="005778C5"/>
    <w:rsid w:val="005815B2"/>
    <w:rsid w:val="00581EE1"/>
    <w:rsid w:val="00585183"/>
    <w:rsid w:val="00585DE1"/>
    <w:rsid w:val="0058643A"/>
    <w:rsid w:val="00590020"/>
    <w:rsid w:val="005900FF"/>
    <w:rsid w:val="00590AB6"/>
    <w:rsid w:val="0059107C"/>
    <w:rsid w:val="00591262"/>
    <w:rsid w:val="00591310"/>
    <w:rsid w:val="0059257B"/>
    <w:rsid w:val="0059394B"/>
    <w:rsid w:val="00594641"/>
    <w:rsid w:val="005A0A2F"/>
    <w:rsid w:val="005A3B9B"/>
    <w:rsid w:val="005A549D"/>
    <w:rsid w:val="005A65CD"/>
    <w:rsid w:val="005B472E"/>
    <w:rsid w:val="005B68DF"/>
    <w:rsid w:val="005B6AFF"/>
    <w:rsid w:val="005B70B9"/>
    <w:rsid w:val="005C403F"/>
    <w:rsid w:val="005C4894"/>
    <w:rsid w:val="005C5197"/>
    <w:rsid w:val="005C5C71"/>
    <w:rsid w:val="005C7259"/>
    <w:rsid w:val="005C75B8"/>
    <w:rsid w:val="005C76DE"/>
    <w:rsid w:val="005C77E0"/>
    <w:rsid w:val="005D2905"/>
    <w:rsid w:val="005D350A"/>
    <w:rsid w:val="005E3245"/>
    <w:rsid w:val="005E41D1"/>
    <w:rsid w:val="005E539C"/>
    <w:rsid w:val="005E6DA7"/>
    <w:rsid w:val="005E7F1E"/>
    <w:rsid w:val="005F360D"/>
    <w:rsid w:val="005F45F8"/>
    <w:rsid w:val="005F46B9"/>
    <w:rsid w:val="005F5295"/>
    <w:rsid w:val="005F7400"/>
    <w:rsid w:val="005F794C"/>
    <w:rsid w:val="005F7E06"/>
    <w:rsid w:val="00601775"/>
    <w:rsid w:val="00601B0A"/>
    <w:rsid w:val="00601F54"/>
    <w:rsid w:val="00605BCB"/>
    <w:rsid w:val="006112A2"/>
    <w:rsid w:val="00611FAF"/>
    <w:rsid w:val="00614CA3"/>
    <w:rsid w:val="006224B1"/>
    <w:rsid w:val="0062290A"/>
    <w:rsid w:val="00623286"/>
    <w:rsid w:val="00627395"/>
    <w:rsid w:val="006273A4"/>
    <w:rsid w:val="00627DF0"/>
    <w:rsid w:val="00632D3B"/>
    <w:rsid w:val="00633283"/>
    <w:rsid w:val="00634B58"/>
    <w:rsid w:val="00636E24"/>
    <w:rsid w:val="0064010F"/>
    <w:rsid w:val="00641BA0"/>
    <w:rsid w:val="00642A45"/>
    <w:rsid w:val="00643F76"/>
    <w:rsid w:val="006455FB"/>
    <w:rsid w:val="0064578E"/>
    <w:rsid w:val="0064728C"/>
    <w:rsid w:val="00652174"/>
    <w:rsid w:val="00652881"/>
    <w:rsid w:val="006529EB"/>
    <w:rsid w:val="00654A93"/>
    <w:rsid w:val="00654DF0"/>
    <w:rsid w:val="0065679F"/>
    <w:rsid w:val="006603E5"/>
    <w:rsid w:val="0066183D"/>
    <w:rsid w:val="00665726"/>
    <w:rsid w:val="00666DA8"/>
    <w:rsid w:val="00667E4B"/>
    <w:rsid w:val="00670B3A"/>
    <w:rsid w:val="006710A4"/>
    <w:rsid w:val="00673295"/>
    <w:rsid w:val="0067358F"/>
    <w:rsid w:val="00675942"/>
    <w:rsid w:val="00676029"/>
    <w:rsid w:val="00677271"/>
    <w:rsid w:val="0068168C"/>
    <w:rsid w:val="006825C9"/>
    <w:rsid w:val="00683266"/>
    <w:rsid w:val="00683640"/>
    <w:rsid w:val="00683944"/>
    <w:rsid w:val="006844DC"/>
    <w:rsid w:val="00685873"/>
    <w:rsid w:val="006863A2"/>
    <w:rsid w:val="00686A1D"/>
    <w:rsid w:val="006909BD"/>
    <w:rsid w:val="00690ABF"/>
    <w:rsid w:val="006919C2"/>
    <w:rsid w:val="006924B3"/>
    <w:rsid w:val="0069320A"/>
    <w:rsid w:val="006955BB"/>
    <w:rsid w:val="00697FD6"/>
    <w:rsid w:val="006A0F1D"/>
    <w:rsid w:val="006A1F36"/>
    <w:rsid w:val="006A2869"/>
    <w:rsid w:val="006A409B"/>
    <w:rsid w:val="006A417D"/>
    <w:rsid w:val="006A6105"/>
    <w:rsid w:val="006A6462"/>
    <w:rsid w:val="006B1B03"/>
    <w:rsid w:val="006B26D3"/>
    <w:rsid w:val="006B2E95"/>
    <w:rsid w:val="006B697B"/>
    <w:rsid w:val="006C0AB1"/>
    <w:rsid w:val="006C0D66"/>
    <w:rsid w:val="006C0FBF"/>
    <w:rsid w:val="006C12FF"/>
    <w:rsid w:val="006C3D12"/>
    <w:rsid w:val="006C608C"/>
    <w:rsid w:val="006C66E0"/>
    <w:rsid w:val="006C677F"/>
    <w:rsid w:val="006D13D9"/>
    <w:rsid w:val="006D1C04"/>
    <w:rsid w:val="006D5620"/>
    <w:rsid w:val="006D7011"/>
    <w:rsid w:val="006E09F9"/>
    <w:rsid w:val="006E4302"/>
    <w:rsid w:val="006F3B05"/>
    <w:rsid w:val="006F5DDA"/>
    <w:rsid w:val="006F6174"/>
    <w:rsid w:val="006F7A73"/>
    <w:rsid w:val="00700B21"/>
    <w:rsid w:val="00703359"/>
    <w:rsid w:val="00704D47"/>
    <w:rsid w:val="00710AFD"/>
    <w:rsid w:val="00710EE8"/>
    <w:rsid w:val="00710FD8"/>
    <w:rsid w:val="00711527"/>
    <w:rsid w:val="0071264A"/>
    <w:rsid w:val="00713D57"/>
    <w:rsid w:val="00714D53"/>
    <w:rsid w:val="00716B37"/>
    <w:rsid w:val="00717C5D"/>
    <w:rsid w:val="007262A0"/>
    <w:rsid w:val="00726D06"/>
    <w:rsid w:val="00727EC8"/>
    <w:rsid w:val="00731B5B"/>
    <w:rsid w:val="0073322B"/>
    <w:rsid w:val="00733A45"/>
    <w:rsid w:val="00733BBD"/>
    <w:rsid w:val="00735135"/>
    <w:rsid w:val="00735E04"/>
    <w:rsid w:val="00735F21"/>
    <w:rsid w:val="007367CA"/>
    <w:rsid w:val="00737FC3"/>
    <w:rsid w:val="0074096A"/>
    <w:rsid w:val="007409DD"/>
    <w:rsid w:val="00746BC6"/>
    <w:rsid w:val="00752B07"/>
    <w:rsid w:val="00752C48"/>
    <w:rsid w:val="00754473"/>
    <w:rsid w:val="00754857"/>
    <w:rsid w:val="007570EE"/>
    <w:rsid w:val="007607AB"/>
    <w:rsid w:val="007632D4"/>
    <w:rsid w:val="0076354E"/>
    <w:rsid w:val="007635F6"/>
    <w:rsid w:val="00763D1C"/>
    <w:rsid w:val="0076533D"/>
    <w:rsid w:val="0076546F"/>
    <w:rsid w:val="0076590C"/>
    <w:rsid w:val="00765B54"/>
    <w:rsid w:val="00770121"/>
    <w:rsid w:val="007706A6"/>
    <w:rsid w:val="00770C2F"/>
    <w:rsid w:val="0077542A"/>
    <w:rsid w:val="00775C2B"/>
    <w:rsid w:val="00776AC2"/>
    <w:rsid w:val="007801AD"/>
    <w:rsid w:val="007801CE"/>
    <w:rsid w:val="0078092F"/>
    <w:rsid w:val="00781198"/>
    <w:rsid w:val="007817A1"/>
    <w:rsid w:val="00782B4D"/>
    <w:rsid w:val="00783141"/>
    <w:rsid w:val="00783176"/>
    <w:rsid w:val="0078384B"/>
    <w:rsid w:val="007862E9"/>
    <w:rsid w:val="0079221A"/>
    <w:rsid w:val="00792A98"/>
    <w:rsid w:val="00792C6C"/>
    <w:rsid w:val="00795584"/>
    <w:rsid w:val="007A1BF5"/>
    <w:rsid w:val="007A3AAC"/>
    <w:rsid w:val="007A55B5"/>
    <w:rsid w:val="007A5BAB"/>
    <w:rsid w:val="007A6BA1"/>
    <w:rsid w:val="007A6C09"/>
    <w:rsid w:val="007B0632"/>
    <w:rsid w:val="007B1E0F"/>
    <w:rsid w:val="007B23C7"/>
    <w:rsid w:val="007B3B56"/>
    <w:rsid w:val="007B3EC6"/>
    <w:rsid w:val="007B487D"/>
    <w:rsid w:val="007B4E50"/>
    <w:rsid w:val="007B693B"/>
    <w:rsid w:val="007B6F65"/>
    <w:rsid w:val="007C0E0D"/>
    <w:rsid w:val="007C6958"/>
    <w:rsid w:val="007D075F"/>
    <w:rsid w:val="007D0982"/>
    <w:rsid w:val="007D2784"/>
    <w:rsid w:val="007D4128"/>
    <w:rsid w:val="007E1A14"/>
    <w:rsid w:val="007E1A79"/>
    <w:rsid w:val="007E27A0"/>
    <w:rsid w:val="007E3F9D"/>
    <w:rsid w:val="007E402B"/>
    <w:rsid w:val="007E5665"/>
    <w:rsid w:val="007E6D53"/>
    <w:rsid w:val="007F0E3B"/>
    <w:rsid w:val="007F18C3"/>
    <w:rsid w:val="007F408E"/>
    <w:rsid w:val="007F4E29"/>
    <w:rsid w:val="007F5E08"/>
    <w:rsid w:val="007F6315"/>
    <w:rsid w:val="007F681B"/>
    <w:rsid w:val="007F746D"/>
    <w:rsid w:val="007F770C"/>
    <w:rsid w:val="00801385"/>
    <w:rsid w:val="00801E18"/>
    <w:rsid w:val="00804BAB"/>
    <w:rsid w:val="00805DFA"/>
    <w:rsid w:val="008064A9"/>
    <w:rsid w:val="008069ED"/>
    <w:rsid w:val="008122BD"/>
    <w:rsid w:val="00812E6B"/>
    <w:rsid w:val="00815911"/>
    <w:rsid w:val="00815EFB"/>
    <w:rsid w:val="00816AFF"/>
    <w:rsid w:val="00817F10"/>
    <w:rsid w:val="00822A86"/>
    <w:rsid w:val="00823822"/>
    <w:rsid w:val="00825D6B"/>
    <w:rsid w:val="0083024B"/>
    <w:rsid w:val="00833BAF"/>
    <w:rsid w:val="008342E9"/>
    <w:rsid w:val="00836777"/>
    <w:rsid w:val="008410D4"/>
    <w:rsid w:val="00842753"/>
    <w:rsid w:val="00842811"/>
    <w:rsid w:val="00843FF1"/>
    <w:rsid w:val="008473B0"/>
    <w:rsid w:val="008503E1"/>
    <w:rsid w:val="00850420"/>
    <w:rsid w:val="00850654"/>
    <w:rsid w:val="00854FFB"/>
    <w:rsid w:val="00856354"/>
    <w:rsid w:val="00860FBB"/>
    <w:rsid w:val="008612FD"/>
    <w:rsid w:val="00862688"/>
    <w:rsid w:val="008637BE"/>
    <w:rsid w:val="008646B2"/>
    <w:rsid w:val="00867C31"/>
    <w:rsid w:val="00872076"/>
    <w:rsid w:val="00872D80"/>
    <w:rsid w:val="0087307E"/>
    <w:rsid w:val="0087384F"/>
    <w:rsid w:val="00873A0F"/>
    <w:rsid w:val="008740C8"/>
    <w:rsid w:val="008745A1"/>
    <w:rsid w:val="0087523D"/>
    <w:rsid w:val="00882B51"/>
    <w:rsid w:val="00883039"/>
    <w:rsid w:val="008837AC"/>
    <w:rsid w:val="00884104"/>
    <w:rsid w:val="00884CBE"/>
    <w:rsid w:val="00890E27"/>
    <w:rsid w:val="008926FD"/>
    <w:rsid w:val="00893919"/>
    <w:rsid w:val="00895708"/>
    <w:rsid w:val="00896A9C"/>
    <w:rsid w:val="00896F7D"/>
    <w:rsid w:val="00897522"/>
    <w:rsid w:val="008A036F"/>
    <w:rsid w:val="008A1173"/>
    <w:rsid w:val="008A13A2"/>
    <w:rsid w:val="008A1CB3"/>
    <w:rsid w:val="008A1D50"/>
    <w:rsid w:val="008A4638"/>
    <w:rsid w:val="008A492B"/>
    <w:rsid w:val="008A59EF"/>
    <w:rsid w:val="008B304E"/>
    <w:rsid w:val="008B41BB"/>
    <w:rsid w:val="008B5922"/>
    <w:rsid w:val="008B70EB"/>
    <w:rsid w:val="008B7E39"/>
    <w:rsid w:val="008C513D"/>
    <w:rsid w:val="008C69C2"/>
    <w:rsid w:val="008C7E7C"/>
    <w:rsid w:val="008D143A"/>
    <w:rsid w:val="008D18CA"/>
    <w:rsid w:val="008D1976"/>
    <w:rsid w:val="008D2E30"/>
    <w:rsid w:val="008D52F5"/>
    <w:rsid w:val="008D5516"/>
    <w:rsid w:val="008D6FCA"/>
    <w:rsid w:val="008E29C1"/>
    <w:rsid w:val="008E3637"/>
    <w:rsid w:val="008E4D3D"/>
    <w:rsid w:val="008E6ABC"/>
    <w:rsid w:val="008F03BA"/>
    <w:rsid w:val="008F11F0"/>
    <w:rsid w:val="008F1E7B"/>
    <w:rsid w:val="008F29BC"/>
    <w:rsid w:val="008F3532"/>
    <w:rsid w:val="008F6139"/>
    <w:rsid w:val="008F7C89"/>
    <w:rsid w:val="00900B89"/>
    <w:rsid w:val="00901138"/>
    <w:rsid w:val="009022DA"/>
    <w:rsid w:val="00902310"/>
    <w:rsid w:val="00903355"/>
    <w:rsid w:val="00903FCA"/>
    <w:rsid w:val="00904C29"/>
    <w:rsid w:val="00904E19"/>
    <w:rsid w:val="00905F05"/>
    <w:rsid w:val="00907BA4"/>
    <w:rsid w:val="0091166C"/>
    <w:rsid w:val="0091221A"/>
    <w:rsid w:val="009122C0"/>
    <w:rsid w:val="009128A4"/>
    <w:rsid w:val="00914A03"/>
    <w:rsid w:val="00916338"/>
    <w:rsid w:val="009169B1"/>
    <w:rsid w:val="0091716E"/>
    <w:rsid w:val="0092395F"/>
    <w:rsid w:val="00923F07"/>
    <w:rsid w:val="00930EE7"/>
    <w:rsid w:val="00932986"/>
    <w:rsid w:val="009367C5"/>
    <w:rsid w:val="00936ACE"/>
    <w:rsid w:val="009413BB"/>
    <w:rsid w:val="00941CE2"/>
    <w:rsid w:val="009429BE"/>
    <w:rsid w:val="009460FF"/>
    <w:rsid w:val="009463E9"/>
    <w:rsid w:val="00946AF0"/>
    <w:rsid w:val="0095164B"/>
    <w:rsid w:val="009526DD"/>
    <w:rsid w:val="00952E6A"/>
    <w:rsid w:val="00954A20"/>
    <w:rsid w:val="00960CF6"/>
    <w:rsid w:val="0096346C"/>
    <w:rsid w:val="00963CB7"/>
    <w:rsid w:val="0096418D"/>
    <w:rsid w:val="00964431"/>
    <w:rsid w:val="009647A6"/>
    <w:rsid w:val="009659C5"/>
    <w:rsid w:val="009716F7"/>
    <w:rsid w:val="00972935"/>
    <w:rsid w:val="00972DF8"/>
    <w:rsid w:val="009743FC"/>
    <w:rsid w:val="009751A2"/>
    <w:rsid w:val="009768DC"/>
    <w:rsid w:val="00977790"/>
    <w:rsid w:val="00980E2C"/>
    <w:rsid w:val="009835A3"/>
    <w:rsid w:val="0098360E"/>
    <w:rsid w:val="0098401F"/>
    <w:rsid w:val="00985F4D"/>
    <w:rsid w:val="0098659B"/>
    <w:rsid w:val="009918D1"/>
    <w:rsid w:val="00992964"/>
    <w:rsid w:val="009929F9"/>
    <w:rsid w:val="00992A0F"/>
    <w:rsid w:val="0099324A"/>
    <w:rsid w:val="00994E4A"/>
    <w:rsid w:val="0099593F"/>
    <w:rsid w:val="009A2391"/>
    <w:rsid w:val="009A24E6"/>
    <w:rsid w:val="009A38C4"/>
    <w:rsid w:val="009A46F4"/>
    <w:rsid w:val="009A5FBA"/>
    <w:rsid w:val="009A7355"/>
    <w:rsid w:val="009A7A4D"/>
    <w:rsid w:val="009B05A4"/>
    <w:rsid w:val="009B0BD9"/>
    <w:rsid w:val="009B2CE3"/>
    <w:rsid w:val="009B614F"/>
    <w:rsid w:val="009C1EDC"/>
    <w:rsid w:val="009C371A"/>
    <w:rsid w:val="009C4762"/>
    <w:rsid w:val="009C4B20"/>
    <w:rsid w:val="009C7436"/>
    <w:rsid w:val="009D12E0"/>
    <w:rsid w:val="009E0299"/>
    <w:rsid w:val="009E0E3A"/>
    <w:rsid w:val="009E27A2"/>
    <w:rsid w:val="009E2980"/>
    <w:rsid w:val="009E3605"/>
    <w:rsid w:val="009E36E7"/>
    <w:rsid w:val="009E4A7E"/>
    <w:rsid w:val="009E726B"/>
    <w:rsid w:val="009F0325"/>
    <w:rsid w:val="009F104E"/>
    <w:rsid w:val="009F2C58"/>
    <w:rsid w:val="009F65B5"/>
    <w:rsid w:val="00A00479"/>
    <w:rsid w:val="00A004B0"/>
    <w:rsid w:val="00A01C85"/>
    <w:rsid w:val="00A02FB3"/>
    <w:rsid w:val="00A035ED"/>
    <w:rsid w:val="00A03BE5"/>
    <w:rsid w:val="00A03C1B"/>
    <w:rsid w:val="00A062B1"/>
    <w:rsid w:val="00A063AA"/>
    <w:rsid w:val="00A06758"/>
    <w:rsid w:val="00A06827"/>
    <w:rsid w:val="00A06C84"/>
    <w:rsid w:val="00A10DB2"/>
    <w:rsid w:val="00A119E4"/>
    <w:rsid w:val="00A136DF"/>
    <w:rsid w:val="00A1494A"/>
    <w:rsid w:val="00A14DF5"/>
    <w:rsid w:val="00A17116"/>
    <w:rsid w:val="00A17EE2"/>
    <w:rsid w:val="00A2040C"/>
    <w:rsid w:val="00A2073F"/>
    <w:rsid w:val="00A22596"/>
    <w:rsid w:val="00A22600"/>
    <w:rsid w:val="00A249B5"/>
    <w:rsid w:val="00A25AA8"/>
    <w:rsid w:val="00A26A19"/>
    <w:rsid w:val="00A27965"/>
    <w:rsid w:val="00A279C5"/>
    <w:rsid w:val="00A30DB2"/>
    <w:rsid w:val="00A311A1"/>
    <w:rsid w:val="00A334CE"/>
    <w:rsid w:val="00A349DB"/>
    <w:rsid w:val="00A360E1"/>
    <w:rsid w:val="00A36164"/>
    <w:rsid w:val="00A37F4C"/>
    <w:rsid w:val="00A4045A"/>
    <w:rsid w:val="00A439D0"/>
    <w:rsid w:val="00A501A7"/>
    <w:rsid w:val="00A52357"/>
    <w:rsid w:val="00A548E9"/>
    <w:rsid w:val="00A5561A"/>
    <w:rsid w:val="00A575FB"/>
    <w:rsid w:val="00A57C38"/>
    <w:rsid w:val="00A60373"/>
    <w:rsid w:val="00A620D4"/>
    <w:rsid w:val="00A65B0A"/>
    <w:rsid w:val="00A6670E"/>
    <w:rsid w:val="00A70DD6"/>
    <w:rsid w:val="00A72B34"/>
    <w:rsid w:val="00A73468"/>
    <w:rsid w:val="00A734B5"/>
    <w:rsid w:val="00A746B0"/>
    <w:rsid w:val="00A74E50"/>
    <w:rsid w:val="00A74F3D"/>
    <w:rsid w:val="00A75DE6"/>
    <w:rsid w:val="00A77B93"/>
    <w:rsid w:val="00A80DB9"/>
    <w:rsid w:val="00A80E65"/>
    <w:rsid w:val="00A8710A"/>
    <w:rsid w:val="00A916CE"/>
    <w:rsid w:val="00A92DE6"/>
    <w:rsid w:val="00A93429"/>
    <w:rsid w:val="00A93FAE"/>
    <w:rsid w:val="00AA0104"/>
    <w:rsid w:val="00AA08C9"/>
    <w:rsid w:val="00AA2BE7"/>
    <w:rsid w:val="00AA582D"/>
    <w:rsid w:val="00AB0258"/>
    <w:rsid w:val="00AB0A7B"/>
    <w:rsid w:val="00AB3C80"/>
    <w:rsid w:val="00AB5335"/>
    <w:rsid w:val="00AB7302"/>
    <w:rsid w:val="00AC0A9C"/>
    <w:rsid w:val="00AC0AF6"/>
    <w:rsid w:val="00AC0F3B"/>
    <w:rsid w:val="00AC3DA0"/>
    <w:rsid w:val="00AC4269"/>
    <w:rsid w:val="00AC5DCB"/>
    <w:rsid w:val="00AC648B"/>
    <w:rsid w:val="00AD17BB"/>
    <w:rsid w:val="00AD6FFE"/>
    <w:rsid w:val="00AE05B8"/>
    <w:rsid w:val="00AE0640"/>
    <w:rsid w:val="00AE1B02"/>
    <w:rsid w:val="00AE2207"/>
    <w:rsid w:val="00AE567E"/>
    <w:rsid w:val="00AE6387"/>
    <w:rsid w:val="00AE6430"/>
    <w:rsid w:val="00AF3F04"/>
    <w:rsid w:val="00AF6AD4"/>
    <w:rsid w:val="00B00F6E"/>
    <w:rsid w:val="00B030B3"/>
    <w:rsid w:val="00B037CB"/>
    <w:rsid w:val="00B04026"/>
    <w:rsid w:val="00B112AA"/>
    <w:rsid w:val="00B144F1"/>
    <w:rsid w:val="00B1459C"/>
    <w:rsid w:val="00B1543B"/>
    <w:rsid w:val="00B168B6"/>
    <w:rsid w:val="00B1724A"/>
    <w:rsid w:val="00B21143"/>
    <w:rsid w:val="00B21547"/>
    <w:rsid w:val="00B225EC"/>
    <w:rsid w:val="00B22B29"/>
    <w:rsid w:val="00B356AC"/>
    <w:rsid w:val="00B35DAE"/>
    <w:rsid w:val="00B37438"/>
    <w:rsid w:val="00B40E28"/>
    <w:rsid w:val="00B41FE0"/>
    <w:rsid w:val="00B440BC"/>
    <w:rsid w:val="00B44349"/>
    <w:rsid w:val="00B46076"/>
    <w:rsid w:val="00B46B32"/>
    <w:rsid w:val="00B50237"/>
    <w:rsid w:val="00B51233"/>
    <w:rsid w:val="00B51D18"/>
    <w:rsid w:val="00B54CCF"/>
    <w:rsid w:val="00B5741B"/>
    <w:rsid w:val="00B63F25"/>
    <w:rsid w:val="00B66AE9"/>
    <w:rsid w:val="00B66CCF"/>
    <w:rsid w:val="00B67B4E"/>
    <w:rsid w:val="00B67BD4"/>
    <w:rsid w:val="00B73113"/>
    <w:rsid w:val="00B745AF"/>
    <w:rsid w:val="00B74FD3"/>
    <w:rsid w:val="00B772F7"/>
    <w:rsid w:val="00B824EF"/>
    <w:rsid w:val="00B8395D"/>
    <w:rsid w:val="00B83B48"/>
    <w:rsid w:val="00B84340"/>
    <w:rsid w:val="00B86537"/>
    <w:rsid w:val="00B87016"/>
    <w:rsid w:val="00B905BA"/>
    <w:rsid w:val="00B96635"/>
    <w:rsid w:val="00BA057C"/>
    <w:rsid w:val="00BA078D"/>
    <w:rsid w:val="00BA139F"/>
    <w:rsid w:val="00BA2E9E"/>
    <w:rsid w:val="00BA3793"/>
    <w:rsid w:val="00BA47E0"/>
    <w:rsid w:val="00BA7BA6"/>
    <w:rsid w:val="00BB0835"/>
    <w:rsid w:val="00BB229C"/>
    <w:rsid w:val="00BB6C39"/>
    <w:rsid w:val="00BB7DDB"/>
    <w:rsid w:val="00BC07AA"/>
    <w:rsid w:val="00BC1488"/>
    <w:rsid w:val="00BC2FEF"/>
    <w:rsid w:val="00BC6407"/>
    <w:rsid w:val="00BD3B1A"/>
    <w:rsid w:val="00BD3CAD"/>
    <w:rsid w:val="00BD755E"/>
    <w:rsid w:val="00BE0BCB"/>
    <w:rsid w:val="00BE1F92"/>
    <w:rsid w:val="00BE2A1D"/>
    <w:rsid w:val="00BE2C91"/>
    <w:rsid w:val="00BE2F82"/>
    <w:rsid w:val="00BE34CD"/>
    <w:rsid w:val="00BE3A68"/>
    <w:rsid w:val="00BE3D7F"/>
    <w:rsid w:val="00BF05CF"/>
    <w:rsid w:val="00BF0B0B"/>
    <w:rsid w:val="00BF1A8D"/>
    <w:rsid w:val="00BF3A83"/>
    <w:rsid w:val="00BF66C7"/>
    <w:rsid w:val="00C006ED"/>
    <w:rsid w:val="00C01316"/>
    <w:rsid w:val="00C015EB"/>
    <w:rsid w:val="00C0339D"/>
    <w:rsid w:val="00C03922"/>
    <w:rsid w:val="00C03BA1"/>
    <w:rsid w:val="00C05EC6"/>
    <w:rsid w:val="00C06C2D"/>
    <w:rsid w:val="00C07240"/>
    <w:rsid w:val="00C10266"/>
    <w:rsid w:val="00C158A8"/>
    <w:rsid w:val="00C26D4B"/>
    <w:rsid w:val="00C27AB5"/>
    <w:rsid w:val="00C30272"/>
    <w:rsid w:val="00C302BC"/>
    <w:rsid w:val="00C31A3A"/>
    <w:rsid w:val="00C31C36"/>
    <w:rsid w:val="00C346E2"/>
    <w:rsid w:val="00C34F45"/>
    <w:rsid w:val="00C360DB"/>
    <w:rsid w:val="00C36353"/>
    <w:rsid w:val="00C40363"/>
    <w:rsid w:val="00C40EC4"/>
    <w:rsid w:val="00C419C3"/>
    <w:rsid w:val="00C4313B"/>
    <w:rsid w:val="00C43BF2"/>
    <w:rsid w:val="00C45AE3"/>
    <w:rsid w:val="00C52A45"/>
    <w:rsid w:val="00C53411"/>
    <w:rsid w:val="00C534C0"/>
    <w:rsid w:val="00C53B80"/>
    <w:rsid w:val="00C56134"/>
    <w:rsid w:val="00C57D41"/>
    <w:rsid w:val="00C65333"/>
    <w:rsid w:val="00C70FFB"/>
    <w:rsid w:val="00C716FD"/>
    <w:rsid w:val="00C73695"/>
    <w:rsid w:val="00C776B7"/>
    <w:rsid w:val="00C81039"/>
    <w:rsid w:val="00C83165"/>
    <w:rsid w:val="00C8410B"/>
    <w:rsid w:val="00C86986"/>
    <w:rsid w:val="00C87461"/>
    <w:rsid w:val="00C87F83"/>
    <w:rsid w:val="00C922E6"/>
    <w:rsid w:val="00C9315F"/>
    <w:rsid w:val="00C945F5"/>
    <w:rsid w:val="00C96D58"/>
    <w:rsid w:val="00C97203"/>
    <w:rsid w:val="00CA09DA"/>
    <w:rsid w:val="00CA20A1"/>
    <w:rsid w:val="00CA437B"/>
    <w:rsid w:val="00CA49F9"/>
    <w:rsid w:val="00CA5FE7"/>
    <w:rsid w:val="00CA61AA"/>
    <w:rsid w:val="00CA78D6"/>
    <w:rsid w:val="00CB2C3F"/>
    <w:rsid w:val="00CB46CD"/>
    <w:rsid w:val="00CB5FB2"/>
    <w:rsid w:val="00CB6459"/>
    <w:rsid w:val="00CC0392"/>
    <w:rsid w:val="00CC22C3"/>
    <w:rsid w:val="00CC2C3F"/>
    <w:rsid w:val="00CC306C"/>
    <w:rsid w:val="00CC477E"/>
    <w:rsid w:val="00CC4F7D"/>
    <w:rsid w:val="00CC5EDC"/>
    <w:rsid w:val="00CC69EE"/>
    <w:rsid w:val="00CC7072"/>
    <w:rsid w:val="00CD080B"/>
    <w:rsid w:val="00CD2004"/>
    <w:rsid w:val="00CD3BF9"/>
    <w:rsid w:val="00CD3EDF"/>
    <w:rsid w:val="00CD429B"/>
    <w:rsid w:val="00CD7C6C"/>
    <w:rsid w:val="00CE1C21"/>
    <w:rsid w:val="00CE4FAE"/>
    <w:rsid w:val="00CE5CD6"/>
    <w:rsid w:val="00CE7ABF"/>
    <w:rsid w:val="00CF0045"/>
    <w:rsid w:val="00CF0936"/>
    <w:rsid w:val="00CF104E"/>
    <w:rsid w:val="00CF233D"/>
    <w:rsid w:val="00CF3DA5"/>
    <w:rsid w:val="00CF402B"/>
    <w:rsid w:val="00CF7070"/>
    <w:rsid w:val="00D0006F"/>
    <w:rsid w:val="00D00527"/>
    <w:rsid w:val="00D0300D"/>
    <w:rsid w:val="00D043B7"/>
    <w:rsid w:val="00D046CD"/>
    <w:rsid w:val="00D04B2B"/>
    <w:rsid w:val="00D05F43"/>
    <w:rsid w:val="00D07CAA"/>
    <w:rsid w:val="00D14673"/>
    <w:rsid w:val="00D150CC"/>
    <w:rsid w:val="00D16468"/>
    <w:rsid w:val="00D221A5"/>
    <w:rsid w:val="00D2457E"/>
    <w:rsid w:val="00D2548F"/>
    <w:rsid w:val="00D276D7"/>
    <w:rsid w:val="00D27E9E"/>
    <w:rsid w:val="00D27F3B"/>
    <w:rsid w:val="00D31A33"/>
    <w:rsid w:val="00D332F5"/>
    <w:rsid w:val="00D377A0"/>
    <w:rsid w:val="00D41D4A"/>
    <w:rsid w:val="00D4205B"/>
    <w:rsid w:val="00D44B3A"/>
    <w:rsid w:val="00D4626F"/>
    <w:rsid w:val="00D47891"/>
    <w:rsid w:val="00D47ACE"/>
    <w:rsid w:val="00D53CEE"/>
    <w:rsid w:val="00D54D59"/>
    <w:rsid w:val="00D60808"/>
    <w:rsid w:val="00D61048"/>
    <w:rsid w:val="00D6110F"/>
    <w:rsid w:val="00D62816"/>
    <w:rsid w:val="00D639D1"/>
    <w:rsid w:val="00D652C2"/>
    <w:rsid w:val="00D65461"/>
    <w:rsid w:val="00D6563A"/>
    <w:rsid w:val="00D66871"/>
    <w:rsid w:val="00D718C0"/>
    <w:rsid w:val="00D72047"/>
    <w:rsid w:val="00D73726"/>
    <w:rsid w:val="00D7408F"/>
    <w:rsid w:val="00D742DC"/>
    <w:rsid w:val="00D750AA"/>
    <w:rsid w:val="00D77134"/>
    <w:rsid w:val="00D82143"/>
    <w:rsid w:val="00D824C2"/>
    <w:rsid w:val="00D844AA"/>
    <w:rsid w:val="00D868A1"/>
    <w:rsid w:val="00D86BD9"/>
    <w:rsid w:val="00D87268"/>
    <w:rsid w:val="00D87CFD"/>
    <w:rsid w:val="00D9002B"/>
    <w:rsid w:val="00D908A8"/>
    <w:rsid w:val="00D91683"/>
    <w:rsid w:val="00D95B89"/>
    <w:rsid w:val="00D96A08"/>
    <w:rsid w:val="00D97034"/>
    <w:rsid w:val="00D973E6"/>
    <w:rsid w:val="00DA02D0"/>
    <w:rsid w:val="00DA063E"/>
    <w:rsid w:val="00DA1517"/>
    <w:rsid w:val="00DA5F04"/>
    <w:rsid w:val="00DA72F9"/>
    <w:rsid w:val="00DA779B"/>
    <w:rsid w:val="00DB0B2B"/>
    <w:rsid w:val="00DB188E"/>
    <w:rsid w:val="00DB2606"/>
    <w:rsid w:val="00DB2BF6"/>
    <w:rsid w:val="00DB5267"/>
    <w:rsid w:val="00DC050F"/>
    <w:rsid w:val="00DC06A5"/>
    <w:rsid w:val="00DC0C7D"/>
    <w:rsid w:val="00DC1228"/>
    <w:rsid w:val="00DC4269"/>
    <w:rsid w:val="00DC45B5"/>
    <w:rsid w:val="00DC4BC6"/>
    <w:rsid w:val="00DC6EF0"/>
    <w:rsid w:val="00DD48B1"/>
    <w:rsid w:val="00DD57E2"/>
    <w:rsid w:val="00DD5FEE"/>
    <w:rsid w:val="00DE25B6"/>
    <w:rsid w:val="00DE370F"/>
    <w:rsid w:val="00DE40FC"/>
    <w:rsid w:val="00DE550E"/>
    <w:rsid w:val="00DE5C51"/>
    <w:rsid w:val="00DE7130"/>
    <w:rsid w:val="00DF1E83"/>
    <w:rsid w:val="00DF1EE9"/>
    <w:rsid w:val="00DF39F0"/>
    <w:rsid w:val="00DF4A84"/>
    <w:rsid w:val="00DF5C1F"/>
    <w:rsid w:val="00DF6811"/>
    <w:rsid w:val="00E00A56"/>
    <w:rsid w:val="00E011D4"/>
    <w:rsid w:val="00E032CF"/>
    <w:rsid w:val="00E04ECA"/>
    <w:rsid w:val="00E05BF0"/>
    <w:rsid w:val="00E060AF"/>
    <w:rsid w:val="00E06B1B"/>
    <w:rsid w:val="00E102D5"/>
    <w:rsid w:val="00E12471"/>
    <w:rsid w:val="00E12602"/>
    <w:rsid w:val="00E12A4F"/>
    <w:rsid w:val="00E1665D"/>
    <w:rsid w:val="00E20489"/>
    <w:rsid w:val="00E20807"/>
    <w:rsid w:val="00E2283D"/>
    <w:rsid w:val="00E24727"/>
    <w:rsid w:val="00E24912"/>
    <w:rsid w:val="00E27123"/>
    <w:rsid w:val="00E31443"/>
    <w:rsid w:val="00E3381B"/>
    <w:rsid w:val="00E34663"/>
    <w:rsid w:val="00E3495E"/>
    <w:rsid w:val="00E35BD3"/>
    <w:rsid w:val="00E37BFF"/>
    <w:rsid w:val="00E4113C"/>
    <w:rsid w:val="00E43629"/>
    <w:rsid w:val="00E436DD"/>
    <w:rsid w:val="00E5167A"/>
    <w:rsid w:val="00E52F9D"/>
    <w:rsid w:val="00E54053"/>
    <w:rsid w:val="00E554C5"/>
    <w:rsid w:val="00E55F27"/>
    <w:rsid w:val="00E5644C"/>
    <w:rsid w:val="00E6005A"/>
    <w:rsid w:val="00E61810"/>
    <w:rsid w:val="00E62ED0"/>
    <w:rsid w:val="00E63400"/>
    <w:rsid w:val="00E63993"/>
    <w:rsid w:val="00E67659"/>
    <w:rsid w:val="00E67E4D"/>
    <w:rsid w:val="00E71ACC"/>
    <w:rsid w:val="00E73DE5"/>
    <w:rsid w:val="00E76179"/>
    <w:rsid w:val="00E76E2F"/>
    <w:rsid w:val="00E76F50"/>
    <w:rsid w:val="00E83176"/>
    <w:rsid w:val="00E833FE"/>
    <w:rsid w:val="00E85BB9"/>
    <w:rsid w:val="00E878A0"/>
    <w:rsid w:val="00E9184E"/>
    <w:rsid w:val="00E959A6"/>
    <w:rsid w:val="00E97F50"/>
    <w:rsid w:val="00EA37EA"/>
    <w:rsid w:val="00EA3C76"/>
    <w:rsid w:val="00EA45D2"/>
    <w:rsid w:val="00EA482B"/>
    <w:rsid w:val="00EA564B"/>
    <w:rsid w:val="00EA6C5A"/>
    <w:rsid w:val="00EB0126"/>
    <w:rsid w:val="00EB15D2"/>
    <w:rsid w:val="00EB393C"/>
    <w:rsid w:val="00EB44D6"/>
    <w:rsid w:val="00EB6132"/>
    <w:rsid w:val="00EC0886"/>
    <w:rsid w:val="00EC08CE"/>
    <w:rsid w:val="00EC1FA4"/>
    <w:rsid w:val="00EC4CC3"/>
    <w:rsid w:val="00EC6A5F"/>
    <w:rsid w:val="00ED03AB"/>
    <w:rsid w:val="00ED0709"/>
    <w:rsid w:val="00ED50B2"/>
    <w:rsid w:val="00ED59DB"/>
    <w:rsid w:val="00EE01FF"/>
    <w:rsid w:val="00EE021E"/>
    <w:rsid w:val="00EE0685"/>
    <w:rsid w:val="00EE254E"/>
    <w:rsid w:val="00EE2785"/>
    <w:rsid w:val="00EE2DE4"/>
    <w:rsid w:val="00EE54E7"/>
    <w:rsid w:val="00EE7CF0"/>
    <w:rsid w:val="00EF4447"/>
    <w:rsid w:val="00EF525D"/>
    <w:rsid w:val="00EF5ABB"/>
    <w:rsid w:val="00EF6A80"/>
    <w:rsid w:val="00F037BB"/>
    <w:rsid w:val="00F0657B"/>
    <w:rsid w:val="00F100AB"/>
    <w:rsid w:val="00F115D4"/>
    <w:rsid w:val="00F151FE"/>
    <w:rsid w:val="00F1556D"/>
    <w:rsid w:val="00F15D79"/>
    <w:rsid w:val="00F16E7C"/>
    <w:rsid w:val="00F20767"/>
    <w:rsid w:val="00F211A2"/>
    <w:rsid w:val="00F21640"/>
    <w:rsid w:val="00F21BBC"/>
    <w:rsid w:val="00F21E26"/>
    <w:rsid w:val="00F2297C"/>
    <w:rsid w:val="00F23774"/>
    <w:rsid w:val="00F24E85"/>
    <w:rsid w:val="00F25689"/>
    <w:rsid w:val="00F3062E"/>
    <w:rsid w:val="00F31D45"/>
    <w:rsid w:val="00F327CF"/>
    <w:rsid w:val="00F3394C"/>
    <w:rsid w:val="00F33EAB"/>
    <w:rsid w:val="00F35135"/>
    <w:rsid w:val="00F363C5"/>
    <w:rsid w:val="00F42E2F"/>
    <w:rsid w:val="00F4462A"/>
    <w:rsid w:val="00F50606"/>
    <w:rsid w:val="00F52070"/>
    <w:rsid w:val="00F5341C"/>
    <w:rsid w:val="00F55C1F"/>
    <w:rsid w:val="00F60031"/>
    <w:rsid w:val="00F625F5"/>
    <w:rsid w:val="00F63AA3"/>
    <w:rsid w:val="00F67554"/>
    <w:rsid w:val="00F74093"/>
    <w:rsid w:val="00F75AF2"/>
    <w:rsid w:val="00F77328"/>
    <w:rsid w:val="00F80D34"/>
    <w:rsid w:val="00F8111E"/>
    <w:rsid w:val="00F82191"/>
    <w:rsid w:val="00F827BC"/>
    <w:rsid w:val="00F86A0B"/>
    <w:rsid w:val="00F86D14"/>
    <w:rsid w:val="00F91EC2"/>
    <w:rsid w:val="00F9272F"/>
    <w:rsid w:val="00F932C3"/>
    <w:rsid w:val="00F9356F"/>
    <w:rsid w:val="00FA0A90"/>
    <w:rsid w:val="00FA0F23"/>
    <w:rsid w:val="00FA16BC"/>
    <w:rsid w:val="00FA2C38"/>
    <w:rsid w:val="00FA5506"/>
    <w:rsid w:val="00FB0ADC"/>
    <w:rsid w:val="00FB1115"/>
    <w:rsid w:val="00FB220D"/>
    <w:rsid w:val="00FB2640"/>
    <w:rsid w:val="00FB4A72"/>
    <w:rsid w:val="00FB4C1B"/>
    <w:rsid w:val="00FB65B4"/>
    <w:rsid w:val="00FB70E5"/>
    <w:rsid w:val="00FB76D8"/>
    <w:rsid w:val="00FB793A"/>
    <w:rsid w:val="00FC455F"/>
    <w:rsid w:val="00FC53C5"/>
    <w:rsid w:val="00FC715E"/>
    <w:rsid w:val="00FD14B6"/>
    <w:rsid w:val="00FD1F22"/>
    <w:rsid w:val="00FD40BF"/>
    <w:rsid w:val="00FD42D5"/>
    <w:rsid w:val="00FD4483"/>
    <w:rsid w:val="00FD65BB"/>
    <w:rsid w:val="00FD6E6D"/>
    <w:rsid w:val="00FD7CC8"/>
    <w:rsid w:val="00FF25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B037CB"/>
    <w:pPr>
      <w:widowControl w:val="0"/>
      <w:jc w:val="both"/>
    </w:pPr>
  </w:style>
  <w:style w:type="paragraph" w:styleId="1">
    <w:name w:val="heading 1"/>
    <w:basedOn w:val="a4"/>
    <w:next w:val="a4"/>
    <w:link w:val="1Char"/>
    <w:uiPriority w:val="9"/>
    <w:qFormat/>
    <w:rsid w:val="0006758E"/>
    <w:pPr>
      <w:keepNext/>
      <w:keepLines/>
      <w:spacing w:before="340" w:after="330" w:line="578" w:lineRule="auto"/>
      <w:outlineLvl w:val="0"/>
    </w:pPr>
    <w:rPr>
      <w:b/>
      <w:bCs/>
      <w:kern w:val="44"/>
      <w:sz w:val="44"/>
      <w:szCs w:val="44"/>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a">
    <w:name w:val="一级"/>
    <w:basedOn w:val="a8"/>
    <w:qFormat/>
    <w:rsid w:val="004F7753"/>
    <w:pPr>
      <w:numPr>
        <w:numId w:val="5"/>
      </w:numPr>
      <w:spacing w:line="360" w:lineRule="auto"/>
      <w:ind w:firstLineChars="0" w:firstLine="0"/>
      <w:jc w:val="center"/>
    </w:pPr>
    <w:rPr>
      <w:b/>
      <w:sz w:val="28"/>
    </w:rPr>
  </w:style>
  <w:style w:type="paragraph" w:styleId="a8">
    <w:name w:val="List Paragraph"/>
    <w:basedOn w:val="a4"/>
    <w:uiPriority w:val="34"/>
    <w:qFormat/>
    <w:rsid w:val="004F7753"/>
    <w:pPr>
      <w:ind w:firstLineChars="200" w:firstLine="420"/>
    </w:pPr>
  </w:style>
  <w:style w:type="paragraph" w:customStyle="1" w:styleId="a0">
    <w:name w:val="二级"/>
    <w:basedOn w:val="a8"/>
    <w:qFormat/>
    <w:rsid w:val="004F7753"/>
    <w:pPr>
      <w:numPr>
        <w:ilvl w:val="1"/>
        <w:numId w:val="5"/>
      </w:numPr>
      <w:ind w:firstLineChars="0" w:firstLine="0"/>
    </w:pPr>
    <w:rPr>
      <w:b/>
      <w:sz w:val="28"/>
    </w:rPr>
  </w:style>
  <w:style w:type="paragraph" w:customStyle="1" w:styleId="a1">
    <w:name w:val="三级"/>
    <w:basedOn w:val="a8"/>
    <w:qFormat/>
    <w:rsid w:val="004F7753"/>
    <w:pPr>
      <w:numPr>
        <w:ilvl w:val="2"/>
        <w:numId w:val="5"/>
      </w:numPr>
      <w:ind w:firstLineChars="0" w:firstLine="0"/>
    </w:pPr>
    <w:rPr>
      <w:b/>
      <w:sz w:val="28"/>
    </w:rPr>
  </w:style>
  <w:style w:type="paragraph" w:customStyle="1" w:styleId="a2">
    <w:name w:val="四级"/>
    <w:basedOn w:val="a1"/>
    <w:qFormat/>
    <w:rsid w:val="004F7753"/>
    <w:pPr>
      <w:numPr>
        <w:ilvl w:val="3"/>
      </w:numPr>
    </w:pPr>
  </w:style>
  <w:style w:type="paragraph" w:customStyle="1" w:styleId="a3">
    <w:name w:val="五级"/>
    <w:basedOn w:val="a2"/>
    <w:qFormat/>
    <w:rsid w:val="004F7753"/>
    <w:pPr>
      <w:numPr>
        <w:ilvl w:val="4"/>
      </w:numPr>
    </w:pPr>
    <w:rPr>
      <w:sz w:val="24"/>
    </w:rPr>
  </w:style>
  <w:style w:type="table" w:styleId="a9">
    <w:name w:val="Table Grid"/>
    <w:basedOn w:val="a6"/>
    <w:uiPriority w:val="59"/>
    <w:rsid w:val="00815E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4"/>
    <w:link w:val="Char"/>
    <w:uiPriority w:val="99"/>
    <w:unhideWhenUsed/>
    <w:rsid w:val="009239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5"/>
    <w:link w:val="aa"/>
    <w:uiPriority w:val="99"/>
    <w:rsid w:val="0092395F"/>
    <w:rPr>
      <w:sz w:val="18"/>
      <w:szCs w:val="18"/>
    </w:rPr>
  </w:style>
  <w:style w:type="paragraph" w:styleId="ab">
    <w:name w:val="footer"/>
    <w:basedOn w:val="a4"/>
    <w:link w:val="Char0"/>
    <w:uiPriority w:val="99"/>
    <w:unhideWhenUsed/>
    <w:rsid w:val="0092395F"/>
    <w:pPr>
      <w:tabs>
        <w:tab w:val="center" w:pos="4153"/>
        <w:tab w:val="right" w:pos="8306"/>
      </w:tabs>
      <w:snapToGrid w:val="0"/>
      <w:jc w:val="left"/>
    </w:pPr>
    <w:rPr>
      <w:sz w:val="18"/>
      <w:szCs w:val="18"/>
    </w:rPr>
  </w:style>
  <w:style w:type="character" w:customStyle="1" w:styleId="Char0">
    <w:name w:val="页脚 Char"/>
    <w:basedOn w:val="a5"/>
    <w:link w:val="ab"/>
    <w:uiPriority w:val="99"/>
    <w:rsid w:val="0092395F"/>
    <w:rPr>
      <w:sz w:val="18"/>
      <w:szCs w:val="18"/>
    </w:rPr>
  </w:style>
  <w:style w:type="paragraph" w:styleId="ac">
    <w:name w:val="Balloon Text"/>
    <w:basedOn w:val="a4"/>
    <w:link w:val="Char1"/>
    <w:uiPriority w:val="99"/>
    <w:semiHidden/>
    <w:unhideWhenUsed/>
    <w:rsid w:val="000676AA"/>
    <w:rPr>
      <w:sz w:val="18"/>
      <w:szCs w:val="18"/>
    </w:rPr>
  </w:style>
  <w:style w:type="character" w:customStyle="1" w:styleId="Char1">
    <w:name w:val="批注框文本 Char"/>
    <w:basedOn w:val="a5"/>
    <w:link w:val="ac"/>
    <w:uiPriority w:val="99"/>
    <w:semiHidden/>
    <w:rsid w:val="000676AA"/>
    <w:rPr>
      <w:sz w:val="18"/>
      <w:szCs w:val="18"/>
    </w:rPr>
  </w:style>
  <w:style w:type="character" w:styleId="ad">
    <w:name w:val="Placeholder Text"/>
    <w:basedOn w:val="a5"/>
    <w:uiPriority w:val="99"/>
    <w:semiHidden/>
    <w:rsid w:val="008B7E39"/>
    <w:rPr>
      <w:color w:val="808080"/>
    </w:rPr>
  </w:style>
  <w:style w:type="character" w:styleId="ae">
    <w:name w:val="footnote reference"/>
    <w:unhideWhenUsed/>
    <w:qFormat/>
    <w:rsid w:val="00CC22C3"/>
    <w:rPr>
      <w:rFonts w:ascii="Times New Roman" w:eastAsia="宋体" w:hAnsi="Times New Roman" w:cs="Times New Roman"/>
      <w:vertAlign w:val="superscript"/>
    </w:rPr>
  </w:style>
  <w:style w:type="paragraph" w:styleId="af">
    <w:name w:val="footnote text"/>
    <w:basedOn w:val="a4"/>
    <w:link w:val="Char2"/>
    <w:unhideWhenUsed/>
    <w:qFormat/>
    <w:rsid w:val="00CC22C3"/>
    <w:pPr>
      <w:snapToGrid w:val="0"/>
      <w:jc w:val="left"/>
    </w:pPr>
    <w:rPr>
      <w:rFonts w:ascii="Calibri" w:eastAsia="宋体" w:hAnsi="Calibri" w:cs="Times New Roman"/>
      <w:sz w:val="18"/>
      <w:szCs w:val="24"/>
    </w:rPr>
  </w:style>
  <w:style w:type="character" w:customStyle="1" w:styleId="Char2">
    <w:name w:val="脚注文本 Char"/>
    <w:basedOn w:val="a5"/>
    <w:link w:val="af"/>
    <w:qFormat/>
    <w:rsid w:val="00CC22C3"/>
    <w:rPr>
      <w:rFonts w:ascii="Calibri" w:eastAsia="宋体" w:hAnsi="Calibri" w:cs="Times New Roman"/>
      <w:sz w:val="18"/>
      <w:szCs w:val="24"/>
    </w:rPr>
  </w:style>
  <w:style w:type="character" w:customStyle="1" w:styleId="1Char">
    <w:name w:val="标题 1 Char"/>
    <w:basedOn w:val="a5"/>
    <w:link w:val="1"/>
    <w:uiPriority w:val="9"/>
    <w:rsid w:val="0006758E"/>
    <w:rPr>
      <w:b/>
      <w:bCs/>
      <w:kern w:val="44"/>
      <w:sz w:val="44"/>
      <w:szCs w:val="44"/>
    </w:rPr>
  </w:style>
  <w:style w:type="character" w:styleId="af0">
    <w:name w:val="annotation reference"/>
    <w:basedOn w:val="a5"/>
    <w:uiPriority w:val="99"/>
    <w:semiHidden/>
    <w:unhideWhenUsed/>
    <w:rsid w:val="00D9002B"/>
    <w:rPr>
      <w:sz w:val="21"/>
      <w:szCs w:val="21"/>
    </w:rPr>
  </w:style>
  <w:style w:type="paragraph" w:styleId="af1">
    <w:name w:val="annotation text"/>
    <w:basedOn w:val="a4"/>
    <w:link w:val="Char3"/>
    <w:uiPriority w:val="99"/>
    <w:semiHidden/>
    <w:unhideWhenUsed/>
    <w:rsid w:val="00D9002B"/>
    <w:pPr>
      <w:jc w:val="left"/>
    </w:pPr>
  </w:style>
  <w:style w:type="character" w:customStyle="1" w:styleId="Char3">
    <w:name w:val="批注文字 Char"/>
    <w:basedOn w:val="a5"/>
    <w:link w:val="af1"/>
    <w:uiPriority w:val="99"/>
    <w:semiHidden/>
    <w:rsid w:val="00D9002B"/>
  </w:style>
  <w:style w:type="paragraph" w:styleId="af2">
    <w:name w:val="annotation subject"/>
    <w:basedOn w:val="af1"/>
    <w:next w:val="af1"/>
    <w:link w:val="Char4"/>
    <w:uiPriority w:val="99"/>
    <w:semiHidden/>
    <w:unhideWhenUsed/>
    <w:rsid w:val="00D9002B"/>
    <w:rPr>
      <w:b/>
      <w:bCs/>
    </w:rPr>
  </w:style>
  <w:style w:type="character" w:customStyle="1" w:styleId="Char4">
    <w:name w:val="批注主题 Char"/>
    <w:basedOn w:val="Char3"/>
    <w:link w:val="af2"/>
    <w:uiPriority w:val="99"/>
    <w:semiHidden/>
    <w:rsid w:val="00D9002B"/>
    <w:rPr>
      <w:b/>
      <w:bCs/>
    </w:rPr>
  </w:style>
</w:styles>
</file>

<file path=word/webSettings.xml><?xml version="1.0" encoding="utf-8"?>
<w:webSettings xmlns:r="http://schemas.openxmlformats.org/officeDocument/2006/relationships" xmlns:w="http://schemas.openxmlformats.org/wordprocessingml/2006/main">
  <w:divs>
    <w:div w:id="114569584">
      <w:bodyDiv w:val="1"/>
      <w:marLeft w:val="0"/>
      <w:marRight w:val="0"/>
      <w:marTop w:val="0"/>
      <w:marBottom w:val="0"/>
      <w:divBdr>
        <w:top w:val="none" w:sz="0" w:space="0" w:color="auto"/>
        <w:left w:val="none" w:sz="0" w:space="0" w:color="auto"/>
        <w:bottom w:val="none" w:sz="0" w:space="0" w:color="auto"/>
        <w:right w:val="none" w:sz="0" w:space="0" w:color="auto"/>
      </w:divBdr>
    </w:div>
    <w:div w:id="1513912368">
      <w:bodyDiv w:val="1"/>
      <w:marLeft w:val="0"/>
      <w:marRight w:val="0"/>
      <w:marTop w:val="0"/>
      <w:marBottom w:val="0"/>
      <w:divBdr>
        <w:top w:val="none" w:sz="0" w:space="0" w:color="auto"/>
        <w:left w:val="none" w:sz="0" w:space="0" w:color="auto"/>
        <w:bottom w:val="none" w:sz="0" w:space="0" w:color="auto"/>
        <w:right w:val="none" w:sz="0" w:space="0" w:color="auto"/>
      </w:divBdr>
    </w:div>
    <w:div w:id="166127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chart1.xml><?xml version="1.0" encoding="utf-8"?>
<c:chartSpace xmlns:c="http://schemas.openxmlformats.org/drawingml/2006/chart" xmlns:a="http://schemas.openxmlformats.org/drawingml/2006/main" xmlns:r="http://schemas.openxmlformats.org/officeDocument/2006/relationships">
  <c:lang val="zh-CN"/>
  <c:chart>
    <c:title>
      <c:tx>
        <c:rich>
          <a:bodyPr/>
          <a:lstStyle/>
          <a:p>
            <a:pPr>
              <a:defRPr sz="900" b="0"/>
            </a:pPr>
            <a:r>
              <a:rPr lang="zh-CN" altLang="en-US" sz="900" b="0"/>
              <a:t>数据截止日期：2020-06-30</a:t>
            </a:r>
          </a:p>
        </c:rich>
      </c:tx>
    </c:title>
    <c:view3D>
      <c:rotX val="30"/>
      <c:depthPercent val="5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Sheet1!$B$1</c:f>
              <c:strCache>
                <c:ptCount val="1"/>
                <c:pt idx="0">
                  <c:v>投资组合资产配置图表</c:v>
                </c:pt>
              </c:strCache>
            </c:strRef>
          </c:tx>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5871-4A4B-95D9-8E0890803837}"/>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5871-4A4B-95D9-8E0890803837}"/>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5871-4A4B-95D9-8E0890803837}"/>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5871-4A4B-95D9-8E0890803837}"/>
              </c:ext>
            </c:extLst>
          </c:dPt>
          <c:dLbls>
            <c:delete val="1"/>
          </c:dLbls>
          <c:cat>
            <c:strRef>
              <c:f>Sheet1!$A$2:$A$5</c:f>
              <c:strCache>
                <c:ptCount val="4"/>
                <c:pt idx="0">
                  <c:v>   0.64%     银行存款和结算备付金合计</c:v>
                </c:pt>
                <c:pt idx="1">
                  <c:v>   1.48%     其他资产</c:v>
                </c:pt>
                <c:pt idx="2">
                  <c:v>  19.51%     权益投资</c:v>
                </c:pt>
                <c:pt idx="3">
                  <c:v>  78.36%     固定收益投资</c:v>
                </c:pt>
              </c:strCache>
            </c:strRef>
          </c:cat>
          <c:val>
            <c:numRef>
              <c:f>Sheet1!$B$2:$B$5</c:f>
              <c:numCache>
                <c:formatCode>0.00%</c:formatCode>
                <c:ptCount val="4"/>
                <c:pt idx="0">
                  <c:v>6.400000000000002E-3</c:v>
                </c:pt>
                <c:pt idx="1">
                  <c:v>1.4800000000000002E-2</c:v>
                </c:pt>
                <c:pt idx="2">
                  <c:v>0.19510000000000002</c:v>
                </c:pt>
                <c:pt idx="3">
                  <c:v>0.78359999999999996</c:v>
                </c:pt>
              </c:numCache>
            </c:numRef>
          </c:val>
          <c:extLst xmlns:c16r2="http://schemas.microsoft.com/office/drawing/2015/06/chart">
            <c:ext xmlns:c16="http://schemas.microsoft.com/office/drawing/2014/chart" uri="{C3380CC4-5D6E-409C-BE32-E72D297353CC}">
              <c16:uniqueId val="{00000008-5871-4A4B-95D9-8E0890803837}"/>
            </c:ext>
          </c:extLst>
        </c:ser>
        <c:dLbls>
          <c:showCatName val="1"/>
        </c:dLbls>
      </c:pie3DChart>
      <c:spPr>
        <a:noFill/>
        <a:ln>
          <a:noFill/>
        </a:ln>
        <a:effectLst/>
      </c:spPr>
    </c:plotArea>
    <c:legend>
      <c:legendPos val="r"/>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lang val="zh-CN"/>
  <c:chart>
    <c:title>
      <c:tx>
        <c:rich>
          <a:bodyPr/>
          <a:lstStyle/>
          <a:p>
            <a:pPr>
              <a:defRPr sz="900" b="0"/>
            </a:pPr>
            <a:r>
              <a:rPr lang="zh-CN" altLang="en-US" sz="900" b="0"/>
              <a:t>数据截止日期：2019-12-31</a:t>
            </a:r>
          </a:p>
        </c:rich>
      </c:tx>
    </c:title>
    <c:plotArea>
      <c:layout/>
      <c:barChart>
        <c:barDir val="col"/>
        <c:grouping val="clustered"/>
        <c:ser>
          <c:idx val="0"/>
          <c:order val="0"/>
          <c:tx>
            <c:strRef>
              <c:f>Sheet1!$B$1</c:f>
              <c:strCache>
                <c:ptCount val="1"/>
                <c:pt idx="0">
                  <c:v>净值增长率</c:v>
                </c:pt>
              </c:strCache>
            </c:strRef>
          </c:tx>
          <c:cat>
            <c:strRef>
              <c:f>Sheet1!$A$2:$A$6</c:f>
              <c:strCache>
                <c:ptCount val="5"/>
                <c:pt idx="0">
                  <c:v>2015</c:v>
                </c:pt>
                <c:pt idx="1">
                  <c:v>2016</c:v>
                </c:pt>
                <c:pt idx="2">
                  <c:v>2017</c:v>
                </c:pt>
                <c:pt idx="3">
                  <c:v>2018</c:v>
                </c:pt>
                <c:pt idx="4">
                  <c:v>2019</c:v>
                </c:pt>
              </c:strCache>
            </c:strRef>
          </c:cat>
          <c:val>
            <c:numRef>
              <c:f>Sheet1!$B$2:$B$6</c:f>
              <c:numCache>
                <c:formatCode>0.00%</c:formatCode>
                <c:ptCount val="5"/>
                <c:pt idx="0">
                  <c:v>9.0000000000000011E-2</c:v>
                </c:pt>
                <c:pt idx="1">
                  <c:v>2.2900000000000004E-2</c:v>
                </c:pt>
                <c:pt idx="2">
                  <c:v>7.2600000000000012E-2</c:v>
                </c:pt>
                <c:pt idx="3">
                  <c:v>2.4600000000000004E-2</c:v>
                </c:pt>
                <c:pt idx="4">
                  <c:v>0.1113</c:v>
                </c:pt>
              </c:numCache>
            </c:numRef>
          </c:val>
          <c:extLst xmlns:c16r2="http://schemas.microsoft.com/office/drawing/2015/06/chart">
            <c:ext xmlns:c16="http://schemas.microsoft.com/office/drawing/2014/chart" uri="{C3380CC4-5D6E-409C-BE32-E72D297353CC}">
              <c16:uniqueId val="{00000000-2A7F-4759-AE99-D515AF4C98D6}"/>
            </c:ext>
          </c:extLst>
        </c:ser>
        <c:ser>
          <c:idx val="1"/>
          <c:order val="1"/>
          <c:tx>
            <c:strRef>
              <c:f>Sheet1!$C$1</c:f>
              <c:strCache>
                <c:ptCount val="1"/>
                <c:pt idx="0">
                  <c:v>业绩比较收益率</c:v>
                </c:pt>
              </c:strCache>
            </c:strRef>
          </c:tx>
          <c:cat>
            <c:strRef>
              <c:f>Sheet1!$A$2:$A$6</c:f>
              <c:strCache>
                <c:ptCount val="5"/>
                <c:pt idx="0">
                  <c:v>2015</c:v>
                </c:pt>
                <c:pt idx="1">
                  <c:v>2016</c:v>
                </c:pt>
                <c:pt idx="2">
                  <c:v>2017</c:v>
                </c:pt>
                <c:pt idx="3">
                  <c:v>2018</c:v>
                </c:pt>
                <c:pt idx="4">
                  <c:v>2019</c:v>
                </c:pt>
              </c:strCache>
            </c:strRef>
          </c:cat>
          <c:val>
            <c:numRef>
              <c:f>Sheet1!$C$2:$C$6</c:f>
              <c:numCache>
                <c:formatCode>0.00%</c:formatCode>
                <c:ptCount val="5"/>
                <c:pt idx="0">
                  <c:v>2.6700000000000002E-2</c:v>
                </c:pt>
                <c:pt idx="1">
                  <c:v>-6.0800000000000007E-2</c:v>
                </c:pt>
                <c:pt idx="2">
                  <c:v>-5.5600000000000004E-2</c:v>
                </c:pt>
                <c:pt idx="3">
                  <c:v>2.3000000000000004E-3</c:v>
                </c:pt>
                <c:pt idx="4">
                  <c:v>4.1800000000000004E-2</c:v>
                </c:pt>
              </c:numCache>
            </c:numRef>
          </c:val>
          <c:extLst xmlns:c16r2="http://schemas.microsoft.com/office/drawing/2015/06/chart">
            <c:ext xmlns:c16="http://schemas.microsoft.com/office/drawing/2014/chart" uri="{C3380CC4-5D6E-409C-BE32-E72D297353CC}">
              <c16:uniqueId val="{00000001-2A7F-4759-AE99-D515AF4C98D6}"/>
            </c:ext>
          </c:extLst>
        </c:ser>
        <c:dLbls/>
        <c:axId val="120818688"/>
        <c:axId val="121266944"/>
      </c:barChart>
      <c:catAx>
        <c:axId val="120818688"/>
        <c:scaling>
          <c:orientation val="minMax"/>
        </c:scaling>
        <c:axPos val="b"/>
        <c:numFmt formatCode="General" sourceLinked="0"/>
        <c:majorTickMark val="none"/>
        <c:tickLblPos val="low"/>
        <c:crossAx val="121266944"/>
        <c:crosses val="autoZero"/>
        <c:auto val="1"/>
        <c:lblAlgn val="ctr"/>
        <c:lblOffset val="100"/>
      </c:catAx>
      <c:valAx>
        <c:axId val="121266944"/>
        <c:scaling>
          <c:orientation val="minMax"/>
        </c:scaling>
        <c:axPos val="l"/>
        <c:majorGridlines/>
        <c:numFmt formatCode="0.00%" sourceLinked="0"/>
        <c:majorTickMark val="none"/>
        <c:tickLblPos val="nextTo"/>
        <c:crossAx val="120818688"/>
        <c:crosses val="autoZero"/>
        <c:crossBetween val="between"/>
      </c:valAx>
      <c:dTable>
        <c:showHorzBorder val="1"/>
        <c:showVertBorder val="1"/>
        <c:showOutline val="1"/>
        <c:showKeys val="1"/>
      </c:dTable>
    </c:plotArea>
    <c:plotVisOnly val="1"/>
    <c:dispBlanksAs val="gap"/>
  </c:chart>
  <c:externalData r:id="rId1"/>
</c:chartSpace>
</file>

<file path=word/drawings/drawing1.xml><?xml version="1.0" encoding="utf-8"?>
<c:userShapes xmlns:c="http://schemas.openxmlformats.org/drawingml/2006/chart">
  <cdr:relSizeAnchor xmlns:cdr="http://schemas.openxmlformats.org/drawingml/2006/chartDrawing">
    <cdr:from>
      <cdr:x>0.22032</cdr:x>
      <cdr:y>0.03096</cdr:y>
    </cdr:from>
    <cdr:to>
      <cdr:x>0.27269</cdr:x>
      <cdr:y>0.08359</cdr:y>
    </cdr:to>
    <cdr:sp macro="" textlink="">
      <cdr:nvSpPr>
        <cdr:cNvPr id="2" name="文本框 1"/>
        <cdr:cNvSpPr txBox="1"/>
      </cdr:nvSpPr>
      <cdr:spPr>
        <a:xfrm xmlns:a="http://schemas.openxmlformats.org/drawingml/2006/main">
          <a:off x="1162050" y="95250"/>
          <a:ext cx="276225" cy="1619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zh-CN" altLang="en-US" sz="1100"/>
        </a:p>
      </cdr:txBody>
    </cdr:sp>
  </cdr:relSizeAnchor>
</c:userShap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465</Words>
  <Characters>2652</Characters>
  <Application>Microsoft Office Word</Application>
  <DocSecurity>4</DocSecurity>
  <Lines>22</Lines>
  <Paragraphs>6</Paragraphs>
  <ScaleCrop>false</ScaleCrop>
  <Company>shenduxitong</Company>
  <LinksUpToDate>false</LinksUpToDate>
  <CharactersWithSpaces>3111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Donghm</dc:creator>
  <cp:lastModifiedBy>ZHONGM</cp:lastModifiedBy>
  <cp:revision>2</cp:revision>
  <dcterms:created xsi:type="dcterms:W3CDTF">2021-01-07T16:18:00Z</dcterms:created>
  <dcterms:modified xsi:type="dcterms:W3CDTF">2021-01-07T16:18:00Z</dcterms:modified>
</cp:coreProperties>
</file>