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D" w:rsidRDefault="00EF77FD">
      <w:pPr>
        <w:jc w:val="center"/>
        <w:rPr>
          <w:rFonts w:eastAsia="Times New Roman"/>
          <w:sz w:val="48"/>
          <w:szCs w:val="48"/>
          <w:lang w:val="en-US" w:eastAsia="zh-CN" w:bidi="ar-SA"/>
        </w:rPr>
      </w:pPr>
    </w:p>
    <w:p w:rsidR="00EF77FD" w:rsidRDefault="00EF77FD">
      <w:pPr>
        <w:jc w:val="center"/>
        <w:rPr>
          <w:rFonts w:eastAsia="Times New Roman"/>
          <w:sz w:val="48"/>
          <w:szCs w:val="48"/>
          <w:lang w:val="en-US" w:eastAsia="zh-CN" w:bidi="ar-SA"/>
        </w:rPr>
      </w:pPr>
      <w:r>
        <w:rPr>
          <w:rFonts w:ascii="宋体" w:hAnsi="宋体" w:cs="宋体"/>
          <w:b/>
          <w:bCs/>
          <w:sz w:val="48"/>
          <w:szCs w:val="48"/>
          <w:lang w:val="en-US" w:eastAsia="zh-CN" w:bidi="ar-SA"/>
        </w:rPr>
        <w:t>鹏华可转债债券型证券投资基金A类份额恢复大额申购、转换转入和定期定额投资业务的公告</w:t>
      </w:r>
    </w:p>
    <w:p w:rsidR="00EF77FD" w:rsidRDefault="00EF77FD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EF77FD" w:rsidRDefault="00EF77FD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EF77FD" w:rsidRDefault="00EF77FD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EF77FD" w:rsidRDefault="00EF77FD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EF77FD" w:rsidRDefault="00EF77FD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center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公告送出日期：</w:t>
      </w:r>
      <w:bookmarkStart w:id="0" w:name="t_3_0_0003_a1_fm1"/>
      <w:bookmarkEnd w:id="0"/>
      <w:r w:rsidRPr="00EF77FD"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2021年01月06日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lastRenderedPageBreak/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EF77FD" w:rsidRDefault="00EF77FD">
      <w:pPr>
        <w:jc w:val="both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1</w:t>
      </w:r>
      <w:bookmarkStart w:id="1" w:name="t_3_1_1_table"/>
      <w:bookmarkEnd w:id="1"/>
      <w:r>
        <w:rPr>
          <w:rFonts w:ascii="宋体" w:hAnsi="宋体" w:cs="宋体"/>
          <w:b/>
          <w:bCs/>
          <w:lang w:val="en-US" w:eastAsia="zh-CN" w:bidi="ar-SA"/>
        </w:rPr>
        <w:t xml:space="preserve"> 公告基本信息</w:t>
      </w:r>
    </w:p>
    <w:tbl>
      <w:tblPr>
        <w:tblW w:w="8493" w:type="dxa"/>
        <w:tblInd w:w="118" w:type="dxa"/>
        <w:tblCellMar>
          <w:left w:w="0" w:type="dxa"/>
          <w:right w:w="0" w:type="dxa"/>
        </w:tblCellMar>
        <w:tblLook w:val="04A0"/>
      </w:tblPr>
      <w:tblGrid>
        <w:gridCol w:w="4494"/>
        <w:gridCol w:w="2046"/>
        <w:gridCol w:w="1953"/>
      </w:tblGrid>
      <w:tr w:rsidR="00EF77FD" w:rsidRPr="00EF77FD" w:rsidTr="00EF77FD"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基金名称</w:t>
            </w:r>
          </w:p>
        </w:tc>
        <w:tc>
          <w:tcPr>
            <w:tcW w:w="40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bookmarkStart w:id="2" w:name="t_3_1_1_0009_a1_fm1"/>
            <w:bookmarkEnd w:id="2"/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鹏华可转债债券型证券投资基金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基金简称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bookmarkStart w:id="3" w:name="t_3_1_1_0011_a1_fm1"/>
            <w:bookmarkEnd w:id="3"/>
            <w:r w:rsidRPr="00EF77FD"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鹏华可转债债券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基金主代码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bookmarkStart w:id="4" w:name="t_1_1_0012_a1_fm1"/>
            <w:bookmarkEnd w:id="4"/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000297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基金管理人名称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bookmarkStart w:id="5" w:name="t_3_1_1_0186_a1_fm1"/>
            <w:bookmarkEnd w:id="5"/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鹏华基金管理有限公司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公告依据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bookmarkStart w:id="6" w:name="t_3_1_1_2631_a1_fm1"/>
            <w:bookmarkEnd w:id="6"/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《鹏华可转债债券型证券投资基金基金合同》、《鹏华可转债债券型证券投资基金招募说明书》及其更新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center"/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恢复大额申购起始日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2021年01月07日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恢复大额转换转入起始日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2021年01月07日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恢复大额定期定额投资起始日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2021年01月07日</w:t>
            </w:r>
          </w:p>
        </w:tc>
      </w:tr>
      <w:tr w:rsidR="00EF77FD" w:rsidRPr="00EF77FD" w:rsidT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2"/>
                <w:szCs w:val="22"/>
                <w:lang w:val="en-US" w:eastAsia="zh-CN" w:bidi="ar-SA"/>
              </w:rPr>
            </w:pPr>
            <w:bookmarkStart w:id="7" w:name="t_3_1_3_table"/>
            <w:bookmarkEnd w:id="7"/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恢复大额申购（转换转入、定期定额投资）的原因说明</w:t>
            </w:r>
          </w:p>
        </w:tc>
        <w:tc>
          <w:tcPr>
            <w:tcW w:w="4059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bookmarkStart w:id="8" w:name="t_3_1_3_2805_a1_fm1"/>
            <w:bookmarkEnd w:id="8"/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满足投资者的投资需求</w:t>
            </w:r>
          </w:p>
        </w:tc>
      </w:tr>
      <w:tr w:rsidR="00EF77FD" w:rsidRP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下属基金份额类别的基金简称</w:t>
            </w:r>
          </w:p>
        </w:tc>
        <w:tc>
          <w:tcPr>
            <w:tcW w:w="2075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 w:rsidRPr="00EF77FD"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鹏华可转债债券A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5" w:type="dxa"/>
              <w:bottom w:w="10" w:type="dxa"/>
              <w:right w:w="10" w:type="dxa"/>
            </w:tcMar>
            <w:hideMark/>
          </w:tcPr>
          <w:p w:rsidR="00EF77FD" w:rsidRPr="00EF77FD" w:rsidRDefault="00EF77FD">
            <w:pP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 w:rsidRPr="00EF77FD"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鹏华可转债债券C</w:t>
            </w:r>
          </w:p>
        </w:tc>
      </w:tr>
      <w:tr w:rsidR="00EF77FD" w:rsidRP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下属基金份额类别的交易代码</w:t>
            </w:r>
          </w:p>
        </w:tc>
        <w:tc>
          <w:tcPr>
            <w:tcW w:w="2075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000297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5" w:type="dxa"/>
              <w:bottom w:w="10" w:type="dxa"/>
              <w:right w:w="10" w:type="dxa"/>
            </w:tcMar>
            <w:hideMark/>
          </w:tcPr>
          <w:p w:rsidR="00EF77FD" w:rsidRPr="00EF77FD" w:rsidRDefault="00EF77FD">
            <w:pP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 w:rsidRPr="00EF77FD"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010964</w:t>
            </w:r>
          </w:p>
        </w:tc>
      </w:tr>
      <w:tr w:rsidR="00EF77FD" w:rsidRPr="00EF77FD"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EF77FD" w:rsidRDefault="00EF77FD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该类基金份额是否恢复大额申购（转换转入、定期定额投资）</w:t>
            </w:r>
          </w:p>
        </w:tc>
        <w:tc>
          <w:tcPr>
            <w:tcW w:w="2075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是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5" w:type="dxa"/>
              <w:bottom w:w="10" w:type="dxa"/>
              <w:right w:w="10" w:type="dxa"/>
            </w:tcMar>
            <w:hideMark/>
          </w:tcPr>
          <w:p w:rsidR="00EF77FD" w:rsidRPr="00EF77FD" w:rsidRDefault="00EF77FD">
            <w:pPr>
              <w:jc w:val="both"/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sz w:val="22"/>
                <w:szCs w:val="22"/>
                <w:lang w:val="en-US" w:eastAsia="zh-CN" w:bidi="ar-SA"/>
              </w:rPr>
              <w:t>-</w:t>
            </w:r>
          </w:p>
        </w:tc>
      </w:tr>
    </w:tbl>
    <w:p w:rsidR="00EF77FD" w:rsidRDefault="00EF77FD">
      <w:pPr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 xml:space="preserve">2 </w:t>
      </w:r>
      <w:bookmarkStart w:id="9" w:name="t_3_2_table"/>
      <w:bookmarkEnd w:id="9"/>
      <w:r>
        <w:rPr>
          <w:rFonts w:ascii="宋体" w:hAnsi="宋体" w:cs="宋体"/>
          <w:b/>
          <w:bCs/>
          <w:lang w:val="en-US" w:eastAsia="zh-CN" w:bidi="ar-SA"/>
        </w:rPr>
        <w:t>其他需要提示的事项</w:t>
      </w:r>
    </w:p>
    <w:p w:rsidR="00EF77FD" w:rsidRPr="00EF77FD" w:rsidRDefault="00EF77FD">
      <w:pPr>
        <w:spacing w:line="360" w:lineRule="auto"/>
        <w:ind w:firstLine="440"/>
        <w:rPr>
          <w:rFonts w:ascii="宋体" w:hAnsi="宋体" w:cs="宋体"/>
          <w:sz w:val="22"/>
          <w:szCs w:val="22"/>
          <w:lang w:val="en-US" w:eastAsia="zh-CN" w:bidi="ar-SA"/>
        </w:rPr>
      </w:pPr>
      <w:bookmarkStart w:id="10" w:name="t_3_2_2646_a1_fm1"/>
      <w:bookmarkEnd w:id="10"/>
      <w:r>
        <w:rPr>
          <w:rFonts w:ascii="宋体" w:hAnsi="宋体" w:cs="宋体"/>
          <w:sz w:val="22"/>
          <w:szCs w:val="22"/>
          <w:lang w:val="en-US" w:eastAsia="zh-CN" w:bidi="ar-SA"/>
        </w:rPr>
        <w:t>（1）鹏华基金管理有限公司（以下简称</w:t>
      </w:r>
      <w:r>
        <w:rPr>
          <w:rFonts w:ascii="Arial" w:eastAsia="Arial" w:hAnsi="Arial" w:cs="Arial"/>
          <w:sz w:val="22"/>
          <w:szCs w:val="22"/>
          <w:lang w:val="en-US" w:eastAsia="zh-CN" w:bidi="ar-SA"/>
        </w:rPr>
        <w:t>“</w:t>
      </w:r>
      <w:r>
        <w:rPr>
          <w:rFonts w:ascii="宋体" w:hAnsi="宋体" w:cs="宋体"/>
          <w:sz w:val="22"/>
          <w:szCs w:val="22"/>
          <w:lang w:val="en-US" w:eastAsia="zh-CN" w:bidi="ar-SA"/>
        </w:rPr>
        <w:t>本公司</w:t>
      </w:r>
      <w:r w:rsidRPr="00EF77FD">
        <w:rPr>
          <w:rFonts w:ascii="宋体" w:hAnsi="宋体" w:cs="宋体"/>
          <w:sz w:val="22"/>
          <w:szCs w:val="22"/>
          <w:lang w:val="en-US" w:eastAsia="zh-CN" w:bidi="ar-SA"/>
        </w:rPr>
        <w:t>”)</w:t>
      </w:r>
      <w:r>
        <w:rPr>
          <w:rFonts w:ascii="宋体" w:hAnsi="宋体" w:cs="宋体"/>
          <w:sz w:val="22"/>
          <w:szCs w:val="22"/>
          <w:lang w:val="en-US" w:eastAsia="zh-CN" w:bidi="ar-SA"/>
        </w:rPr>
        <w:t>决定自2021年01月07日起恢复办理鹏华可转债债券型证券投资基金A类份额（以下简称</w:t>
      </w:r>
      <w:r w:rsidRPr="00EF77FD">
        <w:rPr>
          <w:rFonts w:ascii="宋体" w:hAnsi="宋体" w:cs="宋体"/>
          <w:sz w:val="22"/>
          <w:szCs w:val="22"/>
          <w:lang w:val="en-US" w:eastAsia="zh-CN" w:bidi="ar-SA"/>
        </w:rPr>
        <w:t>“</w:t>
      </w:r>
      <w:r>
        <w:rPr>
          <w:rFonts w:ascii="宋体" w:hAnsi="宋体" w:cs="宋体"/>
          <w:sz w:val="22"/>
          <w:szCs w:val="22"/>
          <w:lang w:val="en-US" w:eastAsia="zh-CN" w:bidi="ar-SA"/>
        </w:rPr>
        <w:t>本基金</w:t>
      </w:r>
      <w:r w:rsidRPr="00EF77FD">
        <w:rPr>
          <w:rFonts w:ascii="宋体" w:hAnsi="宋体" w:cs="宋体"/>
          <w:sz w:val="22"/>
          <w:szCs w:val="22"/>
          <w:lang w:val="en-US" w:eastAsia="zh-CN" w:bidi="ar-SA"/>
        </w:rPr>
        <w:t>”</w:t>
      </w:r>
      <w:r>
        <w:rPr>
          <w:rFonts w:ascii="宋体" w:hAnsi="宋体" w:cs="宋体"/>
          <w:sz w:val="22"/>
          <w:szCs w:val="22"/>
          <w:lang w:val="en-US" w:eastAsia="zh-CN" w:bidi="ar-SA"/>
        </w:rPr>
        <w:t>）的大额申购、转换转入和定期定额投资业务，取消自2020年11月19日起本基金在所有销售机构及直销网点单日单个基金账户累计申购、转换转入和定期定额投资金额限额为人民币</w:t>
      </w:r>
      <w:r w:rsidRPr="00EF77FD">
        <w:rPr>
          <w:rFonts w:ascii="宋体" w:hAnsi="宋体" w:cs="宋体"/>
          <w:sz w:val="22"/>
          <w:szCs w:val="22"/>
          <w:lang w:val="en-US" w:eastAsia="zh-CN" w:bidi="ar-SA"/>
        </w:rPr>
        <w:t>100万</w:t>
      </w:r>
      <w:r>
        <w:rPr>
          <w:rFonts w:ascii="宋体" w:hAnsi="宋体" w:cs="宋体"/>
          <w:sz w:val="22"/>
          <w:szCs w:val="22"/>
          <w:lang w:val="en-US" w:eastAsia="zh-CN" w:bidi="ar-SA"/>
        </w:rPr>
        <w:t>元的限制。</w:t>
      </w:r>
      <w:r w:rsidRPr="00EF77FD">
        <w:rPr>
          <w:rFonts w:ascii="宋体" w:hAnsi="宋体" w:cs="宋体"/>
          <w:sz w:val="22"/>
          <w:szCs w:val="22"/>
          <w:lang w:val="en-US" w:eastAsia="zh-CN" w:bidi="ar-SA"/>
        </w:rPr>
        <w:t> </w:t>
      </w:r>
    </w:p>
    <w:p w:rsidR="00EF77FD" w:rsidRPr="00EF77FD" w:rsidRDefault="00EF77FD">
      <w:pPr>
        <w:spacing w:line="360" w:lineRule="auto"/>
        <w:ind w:firstLine="440"/>
        <w:jc w:val="both"/>
        <w:rPr>
          <w:rFonts w:ascii="宋体" w:hAnsi="宋体" w:cs="宋体"/>
          <w:sz w:val="22"/>
          <w:szCs w:val="22"/>
          <w:lang w:val="en-US" w:eastAsia="zh-CN" w:bidi="ar-SA"/>
        </w:rPr>
      </w:pPr>
      <w:r>
        <w:rPr>
          <w:rFonts w:ascii="宋体" w:hAnsi="宋体" w:cs="宋体"/>
          <w:sz w:val="22"/>
          <w:szCs w:val="22"/>
          <w:lang w:val="en-US" w:eastAsia="zh-CN" w:bidi="ar-SA"/>
        </w:rPr>
        <w:t>（2）投资者可登录本基金管理人网站（www.phfund.com），或拨打客户服务电话（400-6788-533）咨询相关信息。</w:t>
      </w:r>
    </w:p>
    <w:p w:rsidR="00EF77FD" w:rsidRPr="00EF77FD" w:rsidRDefault="00EF77FD">
      <w:pPr>
        <w:spacing w:line="360" w:lineRule="auto"/>
        <w:ind w:firstLine="440"/>
        <w:jc w:val="both"/>
        <w:rPr>
          <w:rFonts w:ascii="宋体" w:hAnsi="宋体" w:cs="宋体"/>
          <w:sz w:val="22"/>
          <w:szCs w:val="22"/>
          <w:lang w:val="en-US" w:eastAsia="zh-CN" w:bidi="ar-SA"/>
        </w:rPr>
      </w:pPr>
    </w:p>
    <w:p w:rsidR="00EF77FD" w:rsidRPr="00EF77FD" w:rsidRDefault="00EF77FD">
      <w:pPr>
        <w:spacing w:line="360" w:lineRule="auto"/>
        <w:ind w:firstLine="440"/>
        <w:jc w:val="both"/>
        <w:rPr>
          <w:rFonts w:ascii="宋体" w:hAnsi="宋体" w:cs="宋体"/>
          <w:sz w:val="22"/>
          <w:szCs w:val="22"/>
          <w:lang w:val="en-US" w:eastAsia="zh-CN" w:bidi="ar-SA"/>
        </w:rPr>
      </w:pPr>
      <w:r>
        <w:rPr>
          <w:rFonts w:ascii="宋体" w:hAnsi="宋体" w:cs="宋体"/>
          <w:sz w:val="22"/>
          <w:szCs w:val="22"/>
          <w:lang w:val="en-US" w:eastAsia="zh-CN" w:bidi="ar-SA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EF77FD" w:rsidRPr="00EF77FD" w:rsidRDefault="00EF77FD">
      <w:pPr>
        <w:spacing w:line="360" w:lineRule="auto"/>
        <w:ind w:firstLine="440"/>
        <w:jc w:val="both"/>
        <w:rPr>
          <w:rFonts w:ascii="宋体" w:hAnsi="宋体" w:cs="宋体"/>
          <w:sz w:val="22"/>
          <w:szCs w:val="22"/>
          <w:lang w:val="en-US" w:eastAsia="zh-CN" w:bidi="ar-SA"/>
        </w:rPr>
      </w:pPr>
      <w:r>
        <w:rPr>
          <w:rFonts w:ascii="宋体" w:hAnsi="宋体" w:cs="宋体"/>
          <w:sz w:val="22"/>
          <w:szCs w:val="22"/>
          <w:lang w:val="en-US" w:eastAsia="zh-CN" w:bidi="ar-SA"/>
        </w:rPr>
        <w:t>特此公告。</w:t>
      </w:r>
    </w:p>
    <w:p w:rsidR="00EF77FD" w:rsidRPr="00EF77FD" w:rsidRDefault="00EF77FD">
      <w:pPr>
        <w:spacing w:line="360" w:lineRule="auto"/>
        <w:jc w:val="right"/>
        <w:rPr>
          <w:rFonts w:ascii="宋体" w:hAnsi="宋体" w:cs="宋体"/>
          <w:sz w:val="22"/>
          <w:szCs w:val="22"/>
          <w:lang w:val="en-US" w:eastAsia="zh-CN" w:bidi="ar-SA"/>
        </w:rPr>
      </w:pPr>
      <w:r>
        <w:rPr>
          <w:rFonts w:ascii="宋体" w:hAnsi="宋体" w:cs="宋体"/>
          <w:sz w:val="22"/>
          <w:szCs w:val="22"/>
          <w:lang w:val="en-US" w:eastAsia="zh-CN" w:bidi="ar-SA"/>
        </w:rPr>
        <w:t>鹏华基金管理有限公司</w:t>
      </w:r>
    </w:p>
    <w:p w:rsidR="00EF77FD" w:rsidRPr="00EF77FD" w:rsidRDefault="00EF77FD">
      <w:pPr>
        <w:spacing w:line="360" w:lineRule="auto"/>
        <w:jc w:val="right"/>
        <w:rPr>
          <w:rFonts w:ascii="宋体" w:hAnsi="宋体" w:cs="宋体"/>
          <w:sz w:val="22"/>
          <w:szCs w:val="22"/>
          <w:lang w:val="en-US" w:eastAsia="zh-CN" w:bidi="ar-SA"/>
        </w:rPr>
      </w:pPr>
      <w:r w:rsidRPr="00EF77FD">
        <w:rPr>
          <w:rFonts w:ascii="宋体" w:hAnsi="宋体" w:cs="宋体"/>
          <w:sz w:val="22"/>
          <w:szCs w:val="22"/>
          <w:lang w:val="en-US" w:eastAsia="zh-CN" w:bidi="ar-SA"/>
        </w:rPr>
        <w:t>2021年01月06日</w:t>
      </w:r>
    </w:p>
    <w:p w:rsidR="00A77B3E" w:rsidRDefault="00A77B3E"/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16" w:rsidRDefault="00442716" w:rsidP="00442716">
      <w:r>
        <w:separator/>
      </w:r>
    </w:p>
  </w:endnote>
  <w:endnote w:type="continuationSeparator" w:id="0">
    <w:p w:rsidR="00442716" w:rsidRDefault="00442716" w:rsidP="0044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16" w:rsidRDefault="00442716" w:rsidP="00442716">
      <w:r>
        <w:separator/>
      </w:r>
    </w:p>
  </w:footnote>
  <w:footnote w:type="continuationSeparator" w:id="0">
    <w:p w:rsidR="00442716" w:rsidRDefault="00442716" w:rsidP="00442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42716"/>
    <w:rsid w:val="00A77B3E"/>
    <w:rsid w:val="00CA2A55"/>
    <w:rsid w:val="00E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4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716"/>
    <w:rPr>
      <w:sz w:val="18"/>
      <w:szCs w:val="18"/>
    </w:rPr>
  </w:style>
  <w:style w:type="paragraph" w:styleId="a4">
    <w:name w:val="footer"/>
    <w:basedOn w:val="a"/>
    <w:link w:val="Char0"/>
    <w:rsid w:val="004427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1601-01-01T00:00:00Z</cp:lastPrinted>
  <dcterms:created xsi:type="dcterms:W3CDTF">2021-01-05T16:01:00Z</dcterms:created>
  <dcterms:modified xsi:type="dcterms:W3CDTF">2021-01-05T16:01:00Z</dcterms:modified>
</cp:coreProperties>
</file>