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35E" w:rsidRPr="009A0870" w:rsidRDefault="00F1435E" w:rsidP="009A0870">
      <w:pPr>
        <w:pStyle w:val="biaogecenter"/>
        <w:spacing w:line="360" w:lineRule="auto"/>
        <w:rPr>
          <w:b/>
          <w:bCs/>
          <w:sz w:val="30"/>
          <w:szCs w:val="30"/>
        </w:rPr>
      </w:pPr>
      <w:r>
        <w:rPr>
          <w:rFonts w:hint="eastAsia"/>
          <w:b/>
          <w:bCs/>
          <w:sz w:val="30"/>
          <w:szCs w:val="30"/>
        </w:rPr>
        <w:t>中加</w:t>
      </w:r>
      <w:r w:rsidR="00C379CF">
        <w:rPr>
          <w:rFonts w:hint="eastAsia"/>
          <w:b/>
          <w:bCs/>
          <w:sz w:val="30"/>
          <w:szCs w:val="30"/>
        </w:rPr>
        <w:t>基金管理有限公司关于旗下部分基金开通基金转换业务的公告</w:t>
      </w:r>
    </w:p>
    <w:p w:rsidR="00F1435E" w:rsidRDefault="00F1435E">
      <w:pPr>
        <w:pStyle w:val="biaogecenter"/>
        <w:spacing w:line="360" w:lineRule="auto"/>
        <w:rPr>
          <w:rFonts w:hint="eastAsia"/>
        </w:rPr>
      </w:pPr>
    </w:p>
    <w:p w:rsidR="00F1435E" w:rsidRDefault="009A0870" w:rsidP="00C333C6">
      <w:pPr>
        <w:pStyle w:val="dazhangjie"/>
        <w:spacing w:line="360" w:lineRule="auto"/>
        <w:ind w:leftChars="7" w:firstLineChars="196" w:firstLine="470"/>
        <w:rPr>
          <w:rFonts w:hint="eastAsia"/>
        </w:rPr>
      </w:pPr>
      <w:r w:rsidRPr="009A0870">
        <w:t>为</w:t>
      </w:r>
      <w:r w:rsidR="009342C9">
        <w:rPr>
          <w:rFonts w:hint="eastAsia"/>
        </w:rPr>
        <w:t>更好地</w:t>
      </w:r>
      <w:r w:rsidRPr="009A0870">
        <w:t>满足广大投资者的理财需求，</w:t>
      </w:r>
      <w:r>
        <w:rPr>
          <w:rFonts w:hint="eastAsia"/>
        </w:rPr>
        <w:t>中加基金</w:t>
      </w:r>
      <w:r w:rsidR="00C333C6">
        <w:rPr>
          <w:rFonts w:hint="eastAsia"/>
        </w:rPr>
        <w:t>管理有限</w:t>
      </w:r>
      <w:r w:rsidRPr="009A0870">
        <w:t>公司（以下简称"本公司"）决定自</w:t>
      </w:r>
      <w:r w:rsidR="00C333C6">
        <w:t>20</w:t>
      </w:r>
      <w:r w:rsidR="009342C9">
        <w:rPr>
          <w:rFonts w:hint="eastAsia"/>
        </w:rPr>
        <w:t>21</w:t>
      </w:r>
      <w:r w:rsidR="00C333C6">
        <w:rPr>
          <w:rFonts w:hint="eastAsia"/>
        </w:rPr>
        <w:t>年1月4日起，</w:t>
      </w:r>
      <w:r w:rsidRPr="009A0870">
        <w:t>开通</w:t>
      </w:r>
      <w:r w:rsidR="00C333C6">
        <w:rPr>
          <w:rFonts w:hint="eastAsia"/>
        </w:rPr>
        <w:t>本公司</w:t>
      </w:r>
      <w:r w:rsidR="00C333C6">
        <w:t>旗下部分基金</w:t>
      </w:r>
      <w:r w:rsidRPr="009A0870">
        <w:t>的</w:t>
      </w:r>
      <w:r w:rsidR="00C333C6">
        <w:rPr>
          <w:rFonts w:hint="eastAsia"/>
        </w:rPr>
        <w:t>基金转换</w:t>
      </w:r>
      <w:r w:rsidRPr="009A0870">
        <w:t>业务。</w:t>
      </w:r>
    </w:p>
    <w:p w:rsidR="009C1879" w:rsidRDefault="009C1879" w:rsidP="009C1879">
      <w:pPr>
        <w:pStyle w:val="dazhangjie"/>
        <w:spacing w:line="360" w:lineRule="auto"/>
        <w:ind w:leftChars="7" w:firstLineChars="196" w:firstLine="472"/>
        <w:rPr>
          <w:rFonts w:hint="eastAsia"/>
          <w:b/>
          <w:bCs/>
        </w:rPr>
      </w:pPr>
      <w:r>
        <w:rPr>
          <w:rFonts w:hint="eastAsia"/>
          <w:b/>
          <w:bCs/>
        </w:rPr>
        <w:t>一、适用基金范围</w:t>
      </w:r>
    </w:p>
    <w:p w:rsidR="009342C9" w:rsidRPr="009342C9" w:rsidRDefault="009342C9" w:rsidP="009342C9">
      <w:pPr>
        <w:pStyle w:val="dazhangjie"/>
        <w:spacing w:line="360" w:lineRule="auto"/>
        <w:ind w:leftChars="7" w:firstLineChars="196" w:firstLine="431"/>
        <w:rPr>
          <w:rFonts w:hint="eastAsia"/>
          <w:b/>
          <w:bCs/>
        </w:rPr>
      </w:pPr>
      <w:r>
        <w:rPr>
          <w:rFonts w:ascii="Arial" w:hAnsi="Arial" w:cs="Arial"/>
          <w:color w:val="191919"/>
          <w:sz w:val="22"/>
          <w:szCs w:val="22"/>
          <w:shd w:val="clear" w:color="auto" w:fill="FFFFFF"/>
        </w:rPr>
        <w:t>本</w:t>
      </w:r>
      <w:r w:rsidR="00970E94">
        <w:rPr>
          <w:rFonts w:ascii="Arial" w:hAnsi="Arial" w:cs="Arial"/>
          <w:color w:val="191919"/>
          <w:sz w:val="22"/>
          <w:szCs w:val="22"/>
          <w:shd w:val="clear" w:color="auto" w:fill="FFFFFF"/>
        </w:rPr>
        <w:t>次开通</w:t>
      </w:r>
      <w:r>
        <w:rPr>
          <w:rFonts w:ascii="Arial" w:hAnsi="Arial" w:cs="Arial"/>
          <w:color w:val="191919"/>
          <w:sz w:val="22"/>
          <w:szCs w:val="22"/>
          <w:shd w:val="clear" w:color="auto" w:fill="FFFFFF"/>
        </w:rPr>
        <w:t>转换业务的基金仅限于</w:t>
      </w:r>
      <w:r>
        <w:rPr>
          <w:rFonts w:ascii="Arial" w:hAnsi="Arial" w:cs="Arial" w:hint="eastAsia"/>
          <w:color w:val="191919"/>
          <w:sz w:val="22"/>
          <w:szCs w:val="22"/>
          <w:shd w:val="clear" w:color="auto" w:fill="FFFFFF"/>
        </w:rPr>
        <w:t>如下基金：</w:t>
      </w:r>
    </w:p>
    <w:p w:rsidR="009C1879" w:rsidRDefault="009C1879" w:rsidP="009C1879">
      <w:pPr>
        <w:pStyle w:val="dazhangjie"/>
        <w:spacing w:line="360" w:lineRule="auto"/>
        <w:ind w:leftChars="7" w:firstLineChars="196" w:firstLine="470"/>
        <w:rPr>
          <w:rFonts w:hint="eastAsia"/>
        </w:rPr>
      </w:pPr>
      <w:r>
        <w:rPr>
          <w:rFonts w:hint="eastAsia"/>
        </w:rPr>
        <w:t>1、中加心悦灵活配置混合型证券投资基金（基金代码：A类005371，C类005372）</w:t>
      </w:r>
    </w:p>
    <w:p w:rsidR="009C1879" w:rsidRPr="00CB0C53" w:rsidRDefault="009C1879" w:rsidP="00CB0C53">
      <w:pPr>
        <w:pStyle w:val="dazhangjie"/>
        <w:spacing w:line="360" w:lineRule="auto"/>
        <w:ind w:leftChars="7" w:firstLineChars="196" w:firstLine="470"/>
        <w:rPr>
          <w:rFonts w:hint="eastAsia"/>
        </w:rPr>
      </w:pPr>
      <w:r>
        <w:rPr>
          <w:rFonts w:hint="eastAsia"/>
        </w:rPr>
        <w:t>2、</w:t>
      </w:r>
      <w:r w:rsidR="000858FB" w:rsidRPr="000858FB">
        <w:t>中加颐信纯债债券型证券投资基金</w:t>
      </w:r>
      <w:r w:rsidR="00CB0C53">
        <w:rPr>
          <w:rFonts w:hint="eastAsia"/>
        </w:rPr>
        <w:t>（基金代码：A类00</w:t>
      </w:r>
      <w:r w:rsidR="000858FB">
        <w:rPr>
          <w:rFonts w:hint="eastAsia"/>
        </w:rPr>
        <w:t>6068</w:t>
      </w:r>
      <w:r w:rsidR="00CB0C53">
        <w:rPr>
          <w:rFonts w:hint="eastAsia"/>
        </w:rPr>
        <w:t>，C类00</w:t>
      </w:r>
      <w:r w:rsidR="000858FB">
        <w:rPr>
          <w:rFonts w:hint="eastAsia"/>
        </w:rPr>
        <w:t>6069</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3、</w:t>
      </w:r>
      <w:r w:rsidR="000858FB" w:rsidRPr="000858FB">
        <w:t>中加颐睿纯债债券型证券投资基金</w:t>
      </w:r>
      <w:r w:rsidR="00CB0C53">
        <w:rPr>
          <w:rFonts w:hint="eastAsia"/>
        </w:rPr>
        <w:t>（基金代码：A类00</w:t>
      </w:r>
      <w:r w:rsidR="000858FB">
        <w:rPr>
          <w:rFonts w:hint="eastAsia"/>
        </w:rPr>
        <w:t>6066</w:t>
      </w:r>
      <w:r w:rsidR="00CB0C53">
        <w:rPr>
          <w:rFonts w:hint="eastAsia"/>
        </w:rPr>
        <w:t>，C类00</w:t>
      </w:r>
      <w:r w:rsidR="000858FB">
        <w:rPr>
          <w:rFonts w:hint="eastAsia"/>
        </w:rPr>
        <w:t>6067</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4、</w:t>
      </w:r>
      <w:r w:rsidR="000858FB" w:rsidRPr="000858FB">
        <w:t>中加颐合纯债债券型证券投资基金</w:t>
      </w:r>
      <w:r w:rsidR="00CB0C53">
        <w:rPr>
          <w:rFonts w:hint="eastAsia"/>
        </w:rPr>
        <w:t>（基金代码：</w:t>
      </w:r>
      <w:r w:rsidR="000858FB">
        <w:rPr>
          <w:rFonts w:hint="eastAsia"/>
        </w:rPr>
        <w:t>006180</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5、</w:t>
      </w:r>
      <w:r w:rsidR="000858FB" w:rsidRPr="000858FB">
        <w:t>中加颐鑫纯债债券型证券投资基金</w:t>
      </w:r>
      <w:r w:rsidR="00CB0C53">
        <w:rPr>
          <w:rFonts w:hint="eastAsia"/>
        </w:rPr>
        <w:t>（基金代码：</w:t>
      </w:r>
      <w:r w:rsidR="000858FB">
        <w:rPr>
          <w:rFonts w:hint="eastAsia"/>
        </w:rPr>
        <w:t>006304</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6、</w:t>
      </w:r>
      <w:r w:rsidR="000858FB" w:rsidRPr="000858FB">
        <w:t>中加颐智纯债债券型证券投资基金</w:t>
      </w:r>
      <w:r w:rsidR="00CB0C53">
        <w:rPr>
          <w:rFonts w:hint="eastAsia"/>
        </w:rPr>
        <w:t>（基金代码：</w:t>
      </w:r>
      <w:r w:rsidR="000858FB">
        <w:rPr>
          <w:rFonts w:hint="eastAsia"/>
        </w:rPr>
        <w:t>006411</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7、</w:t>
      </w:r>
      <w:r w:rsidR="000858FB" w:rsidRPr="000858FB">
        <w:t>中加瑞鑫纯债债券型证券投资基金</w:t>
      </w:r>
      <w:r w:rsidR="00CB0C53">
        <w:rPr>
          <w:rFonts w:hint="eastAsia"/>
        </w:rPr>
        <w:t>（基金代码：</w:t>
      </w:r>
      <w:r w:rsidR="000858FB">
        <w:rPr>
          <w:rFonts w:hint="eastAsia"/>
        </w:rPr>
        <w:t>006827</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8、</w:t>
      </w:r>
      <w:r w:rsidR="000858FB" w:rsidRPr="000858FB">
        <w:t>中加民丰纯债债券型证券投资基金</w:t>
      </w:r>
      <w:r w:rsidR="00CB0C53">
        <w:rPr>
          <w:rFonts w:hint="eastAsia"/>
        </w:rPr>
        <w:t>（基金代码：</w:t>
      </w:r>
      <w:r w:rsidR="000858FB">
        <w:rPr>
          <w:rFonts w:hint="eastAsia"/>
        </w:rPr>
        <w:t>007572</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9、</w:t>
      </w:r>
      <w:r w:rsidR="000858FB" w:rsidRPr="000858FB">
        <w:t>中加科盈混合型证券投资基金</w:t>
      </w:r>
      <w:r w:rsidR="00CB0C53">
        <w:rPr>
          <w:rFonts w:hint="eastAsia"/>
        </w:rPr>
        <w:t>（基金代码：A类00</w:t>
      </w:r>
      <w:r w:rsidR="000858FB">
        <w:rPr>
          <w:rFonts w:hint="eastAsia"/>
        </w:rPr>
        <w:t>8033</w:t>
      </w:r>
      <w:r w:rsidR="00CB0C53">
        <w:rPr>
          <w:rFonts w:hint="eastAsia"/>
        </w:rPr>
        <w:t>，C类00</w:t>
      </w:r>
      <w:r w:rsidR="000858FB">
        <w:rPr>
          <w:rFonts w:hint="eastAsia"/>
        </w:rPr>
        <w:t>8034</w:t>
      </w:r>
      <w:r w:rsidR="00CB0C53">
        <w:rPr>
          <w:rFonts w:hint="eastAsia"/>
        </w:rPr>
        <w:t>）</w:t>
      </w:r>
    </w:p>
    <w:p w:rsidR="009C1879" w:rsidRDefault="009C1879" w:rsidP="009C1879">
      <w:pPr>
        <w:pStyle w:val="dazhangjie"/>
        <w:spacing w:line="360" w:lineRule="auto"/>
        <w:ind w:leftChars="7" w:firstLineChars="196" w:firstLine="470"/>
        <w:rPr>
          <w:rFonts w:hint="eastAsia"/>
        </w:rPr>
      </w:pPr>
      <w:r>
        <w:rPr>
          <w:rFonts w:hint="eastAsia"/>
        </w:rPr>
        <w:t>10、</w:t>
      </w:r>
      <w:r w:rsidR="000858FB" w:rsidRPr="000858FB">
        <w:t>中加科丰价值精选混合型证券投资基金</w:t>
      </w:r>
      <w:r w:rsidR="00CB0C53">
        <w:rPr>
          <w:rFonts w:hint="eastAsia"/>
        </w:rPr>
        <w:t>（基金代码：</w:t>
      </w:r>
      <w:r w:rsidR="000858FB">
        <w:rPr>
          <w:rFonts w:hint="eastAsia"/>
        </w:rPr>
        <w:t>008356</w:t>
      </w:r>
      <w:r w:rsidR="00CB0C53">
        <w:rPr>
          <w:rFonts w:hint="eastAsia"/>
        </w:rPr>
        <w:t>）</w:t>
      </w:r>
    </w:p>
    <w:p w:rsidR="00F764A4" w:rsidRDefault="00F764A4" w:rsidP="009C1879">
      <w:pPr>
        <w:pStyle w:val="dazhangjie"/>
        <w:spacing w:line="360" w:lineRule="auto"/>
        <w:ind w:leftChars="7" w:firstLineChars="196" w:firstLine="470"/>
        <w:rPr>
          <w:rFonts w:hint="eastAsia"/>
        </w:rPr>
      </w:pPr>
    </w:p>
    <w:p w:rsidR="009C1879" w:rsidRDefault="009342C9" w:rsidP="009C1879">
      <w:pPr>
        <w:pStyle w:val="dazhangjie"/>
        <w:spacing w:line="360" w:lineRule="auto"/>
        <w:ind w:leftChars="7" w:firstLineChars="196" w:firstLine="472"/>
        <w:rPr>
          <w:rFonts w:hint="eastAsia"/>
          <w:b/>
          <w:bCs/>
        </w:rPr>
      </w:pPr>
      <w:r>
        <w:rPr>
          <w:rFonts w:hint="eastAsia"/>
          <w:b/>
          <w:bCs/>
        </w:rPr>
        <w:t>二、</w:t>
      </w:r>
      <w:r w:rsidR="00D33FEB">
        <w:rPr>
          <w:rFonts w:hint="eastAsia"/>
          <w:b/>
          <w:bCs/>
        </w:rPr>
        <w:t>转换业务办理时间</w:t>
      </w:r>
    </w:p>
    <w:p w:rsidR="009C1879" w:rsidRDefault="009342C9" w:rsidP="009342C9">
      <w:pPr>
        <w:pStyle w:val="dazhangjie"/>
        <w:spacing w:line="360" w:lineRule="auto"/>
        <w:ind w:leftChars="7" w:firstLineChars="196" w:firstLine="470"/>
        <w:rPr>
          <w:rFonts w:hint="eastAsia"/>
        </w:rPr>
      </w:pPr>
      <w:r>
        <w:t>20</w:t>
      </w:r>
      <w:r>
        <w:rPr>
          <w:rFonts w:hint="eastAsia"/>
        </w:rPr>
        <w:t>21</w:t>
      </w:r>
      <w:r w:rsidRPr="009342C9">
        <w:t>年</w:t>
      </w:r>
      <w:r>
        <w:rPr>
          <w:rFonts w:hint="eastAsia"/>
        </w:rPr>
        <w:t>1</w:t>
      </w:r>
      <w:r w:rsidRPr="009342C9">
        <w:t>月</w:t>
      </w:r>
      <w:r>
        <w:rPr>
          <w:rFonts w:hint="eastAsia"/>
        </w:rPr>
        <w:t>4</w:t>
      </w:r>
      <w:r w:rsidR="005A5C35">
        <w:t>日起（含），投资</w:t>
      </w:r>
      <w:r w:rsidR="006F6408">
        <w:rPr>
          <w:rFonts w:hint="eastAsia"/>
        </w:rPr>
        <w:t>者</w:t>
      </w:r>
      <w:r w:rsidRPr="009342C9">
        <w:t>可在基金开放日申请办理基金转换业务，具体办理时间与基金申购、赎回业务办理时间相同。</w:t>
      </w:r>
      <w:r w:rsidR="00C849CB">
        <w:rPr>
          <w:rFonts w:hint="eastAsia"/>
        </w:rPr>
        <w:t>具体办理规则请遵循销售机构的相关规定。</w:t>
      </w:r>
    </w:p>
    <w:p w:rsidR="00F764A4" w:rsidRDefault="00F764A4" w:rsidP="009C1879">
      <w:pPr>
        <w:pStyle w:val="dazhangjie"/>
        <w:spacing w:line="360" w:lineRule="auto"/>
        <w:ind w:leftChars="7" w:firstLineChars="196" w:firstLine="470"/>
        <w:rPr>
          <w:rFonts w:hint="eastAsia"/>
        </w:rPr>
      </w:pPr>
    </w:p>
    <w:p w:rsidR="00477B40" w:rsidRPr="00F764A4" w:rsidRDefault="00477B40" w:rsidP="00F764A4">
      <w:pPr>
        <w:pStyle w:val="dazhangjie"/>
        <w:spacing w:line="360" w:lineRule="auto"/>
        <w:ind w:leftChars="7" w:firstLineChars="196" w:firstLine="472"/>
        <w:rPr>
          <w:rFonts w:hint="eastAsia"/>
          <w:b/>
          <w:bCs/>
        </w:rPr>
      </w:pPr>
      <w:r>
        <w:rPr>
          <w:rFonts w:hint="eastAsia"/>
          <w:b/>
          <w:bCs/>
        </w:rPr>
        <w:t>三、</w:t>
      </w:r>
      <w:r w:rsidR="009342C9">
        <w:rPr>
          <w:rFonts w:hint="eastAsia"/>
          <w:b/>
          <w:bCs/>
        </w:rPr>
        <w:t>适用</w:t>
      </w:r>
      <w:r w:rsidR="005A5C35">
        <w:rPr>
          <w:rFonts w:hint="eastAsia"/>
          <w:b/>
          <w:bCs/>
        </w:rPr>
        <w:t>销售机构</w:t>
      </w:r>
    </w:p>
    <w:p w:rsidR="005A5C35" w:rsidRDefault="005A5C35" w:rsidP="005A5C35">
      <w:pPr>
        <w:pStyle w:val="neirong"/>
        <w:ind w:firstLineChars="200" w:firstLine="480"/>
        <w:rPr>
          <w:rFonts w:hint="eastAsia"/>
        </w:rPr>
      </w:pPr>
      <w:r>
        <w:rPr>
          <w:rFonts w:hint="eastAsia"/>
        </w:rPr>
        <w:t>上述基金</w:t>
      </w:r>
      <w:r w:rsidRPr="00794118">
        <w:rPr>
          <w:rFonts w:hint="eastAsia"/>
        </w:rPr>
        <w:t>通过中加基金管理有限公司直销柜台及网上交易办理。</w:t>
      </w:r>
      <w:r w:rsidRPr="00794118">
        <w:t xml:space="preserve"> </w:t>
      </w:r>
    </w:p>
    <w:p w:rsidR="005A5C35" w:rsidRDefault="006F6408" w:rsidP="005A5C35">
      <w:pPr>
        <w:pStyle w:val="dazhangjie"/>
        <w:spacing w:line="360" w:lineRule="auto"/>
        <w:ind w:leftChars="7" w:firstLineChars="196" w:firstLine="470"/>
        <w:rPr>
          <w:rFonts w:hint="eastAsia"/>
        </w:rPr>
      </w:pPr>
      <w:r>
        <w:rPr>
          <w:rFonts w:hint="eastAsia"/>
        </w:rPr>
        <w:t>其他销售机构如以后开通上述</w:t>
      </w:r>
      <w:r w:rsidR="005A5C35" w:rsidRPr="00794118">
        <w:rPr>
          <w:rFonts w:hint="eastAsia"/>
        </w:rPr>
        <w:t>基金的转换业务，本公司可不再特别公告，敬请广大投资者关注各销售机构开通上述业务的公告或垂询有关销售机构。</w:t>
      </w:r>
    </w:p>
    <w:p w:rsidR="0059226E" w:rsidRPr="009C1879" w:rsidRDefault="0059226E" w:rsidP="005A5C35">
      <w:pPr>
        <w:pStyle w:val="dazhangjie"/>
        <w:spacing w:line="360" w:lineRule="auto"/>
        <w:ind w:leftChars="7" w:firstLineChars="196" w:firstLine="470"/>
        <w:rPr>
          <w:rFonts w:hint="eastAsia"/>
        </w:rPr>
      </w:pPr>
    </w:p>
    <w:p w:rsidR="009C1879" w:rsidRPr="009C1879" w:rsidRDefault="009C1879" w:rsidP="009C1879">
      <w:pPr>
        <w:pStyle w:val="dazhangjie"/>
        <w:spacing w:line="360" w:lineRule="auto"/>
        <w:ind w:leftChars="7" w:firstLineChars="196" w:firstLine="470"/>
        <w:rPr>
          <w:rFonts w:hint="eastAsia"/>
        </w:rPr>
      </w:pPr>
    </w:p>
    <w:p w:rsidR="00F1435E" w:rsidRDefault="002E195B">
      <w:pPr>
        <w:pStyle w:val="zhangjiep"/>
        <w:spacing w:line="360" w:lineRule="auto"/>
        <w:ind w:left="0" w:firstLineChars="200" w:firstLine="482"/>
        <w:rPr>
          <w:rFonts w:hint="eastAsia"/>
        </w:rPr>
      </w:pPr>
      <w:r>
        <w:rPr>
          <w:rFonts w:hint="eastAsia"/>
          <w:b/>
          <w:bCs/>
        </w:rPr>
        <w:lastRenderedPageBreak/>
        <w:t>四、</w:t>
      </w:r>
      <w:r w:rsidR="009342C9">
        <w:rPr>
          <w:rFonts w:hint="eastAsia"/>
          <w:b/>
          <w:bCs/>
        </w:rPr>
        <w:t>基金转换费用及计算公式</w:t>
      </w:r>
    </w:p>
    <w:p w:rsidR="00F1435E" w:rsidRDefault="00F1435E">
      <w:pPr>
        <w:pStyle w:val="neirong"/>
        <w:rPr>
          <w:rFonts w:hint="eastAsia"/>
        </w:rPr>
      </w:pPr>
      <w:r>
        <w:rPr>
          <w:rFonts w:hint="eastAsia"/>
        </w:rPr>
        <w:t>  </w:t>
      </w:r>
      <w:r w:rsidR="002E195B">
        <w:rPr>
          <w:rFonts w:hint="eastAsia"/>
        </w:rPr>
        <w:t>1、</w:t>
      </w:r>
      <w:r>
        <w:rPr>
          <w:rFonts w:hint="eastAsia"/>
        </w:rPr>
        <w:t>基金转换费用由基金赎回费用及基金申购补差费用构成。</w:t>
      </w:r>
      <w:r>
        <w:rPr>
          <w:rFonts w:hint="eastAsia"/>
        </w:rPr>
        <w:br/>
        <w:t>  </w:t>
      </w:r>
      <w:r w:rsidR="002E195B">
        <w:rPr>
          <w:rFonts w:hint="eastAsia"/>
        </w:rPr>
        <w:t>2、</w:t>
      </w:r>
      <w:r>
        <w:rPr>
          <w:rFonts w:hint="eastAsia"/>
        </w:rPr>
        <w:t>基金转换只能在相同收费模式下的基金份额之间进行。即前端模式下的基金份额只能转换为另一只基金的前端模式份额，后端模式下的基金份额只能转换为另一只基金的后端模式份额。投资者在提交基金转换业务时应明确标示类别。</w:t>
      </w:r>
      <w:r>
        <w:rPr>
          <w:rFonts w:hint="eastAsia"/>
        </w:rPr>
        <w:br/>
        <w:t>  </w:t>
      </w:r>
      <w:r w:rsidR="002E195B">
        <w:rPr>
          <w:rFonts w:hint="eastAsia"/>
        </w:rPr>
        <w:t>3、</w:t>
      </w:r>
      <w:r>
        <w:rPr>
          <w:rFonts w:hint="eastAsia"/>
        </w:rPr>
        <w:t>转出基金时，如涉及的转出基金有赎回费用的，收取该基金的赎回费用。</w:t>
      </w:r>
      <w:r>
        <w:rPr>
          <w:rFonts w:hint="eastAsia"/>
        </w:rPr>
        <w:br/>
        <w:t>  </w:t>
      </w:r>
      <w:r w:rsidR="002E195B">
        <w:rPr>
          <w:rFonts w:hint="eastAsia"/>
        </w:rPr>
        <w:t>4、</w:t>
      </w:r>
      <w:r>
        <w:rPr>
          <w:rFonts w:hint="eastAsia"/>
        </w:rPr>
        <w:t>转入基金时，从申购费用低的基金向申购费用高的基金转换时，每次收取申购补差费用；从申购费用高的基金向申购费用低的基金转换时，不收取申购补差费用。</w:t>
      </w:r>
      <w:r>
        <w:rPr>
          <w:rFonts w:hint="eastAsia"/>
        </w:rPr>
        <w:br/>
        <w:t>  </w:t>
      </w:r>
      <w:r w:rsidR="002E195B">
        <w:rPr>
          <w:rFonts w:hint="eastAsia"/>
        </w:rPr>
        <w:t>5、</w:t>
      </w:r>
      <w:r>
        <w:rPr>
          <w:rFonts w:hint="eastAsia"/>
        </w:rPr>
        <w:t>本公司旗下基金的转换业务，最低转换申请份额以各产品相关公告为准。如果某笔转换申请导致转出基金的单个交易账户的基金份额余额少于基金最低保留余额限制，则转出基金余额部分基金份额将被同时赎回。</w:t>
      </w:r>
      <w:r>
        <w:rPr>
          <w:rFonts w:hint="eastAsia"/>
        </w:rPr>
        <w:br/>
        <w:t> </w:t>
      </w:r>
      <w:r w:rsidR="002E195B">
        <w:rPr>
          <w:rFonts w:hint="eastAsia"/>
        </w:rPr>
        <w:t xml:space="preserve">  6、</w:t>
      </w:r>
      <w:r>
        <w:rPr>
          <w:rFonts w:hint="eastAsia"/>
        </w:rPr>
        <w:t>投资者可以发起多次基金转换业务，基金转换费用按每笔申请单独计算。</w:t>
      </w:r>
      <w:r>
        <w:rPr>
          <w:rFonts w:hint="eastAsia"/>
        </w:rPr>
        <w:br/>
        <w:t>  </w:t>
      </w:r>
      <w:r w:rsidR="002E195B">
        <w:rPr>
          <w:rFonts w:hint="eastAsia"/>
        </w:rPr>
        <w:t>7、</w:t>
      </w:r>
      <w:r>
        <w:rPr>
          <w:rFonts w:hint="eastAsia"/>
        </w:rPr>
        <w:t>转换费用以人民币元为单位，计算结果按照四舍五入方法，保留小数点后两位。</w:t>
      </w:r>
      <w:r>
        <w:rPr>
          <w:rFonts w:hint="eastAsia"/>
        </w:rPr>
        <w:br/>
        <w:t>  </w:t>
      </w:r>
      <w:r w:rsidR="002E195B">
        <w:rPr>
          <w:rFonts w:hint="eastAsia"/>
        </w:rPr>
        <w:t>8、</w:t>
      </w:r>
      <w:r>
        <w:rPr>
          <w:rFonts w:hint="eastAsia"/>
        </w:rPr>
        <w:t xml:space="preserve"> 如遇旗下基金开展申购费率优惠活动（包括本公司网上交易系统的费率优惠活动，公告中有特别说明的除外），则基金转换时的申购补差费按照优惠后的费率计算，但对于通过销售机构网上交易提起的基金转换申请，如本公司未作特别说明，将以各销售机构的规定为准。</w:t>
      </w:r>
      <w:r>
        <w:rPr>
          <w:rFonts w:hint="eastAsia"/>
        </w:rPr>
        <w:br/>
        <w:t>  </w:t>
      </w:r>
      <w:r w:rsidR="002E195B">
        <w:rPr>
          <w:rFonts w:hint="eastAsia"/>
        </w:rPr>
        <w:t>9、</w:t>
      </w:r>
      <w:r>
        <w:rPr>
          <w:rFonts w:hint="eastAsia"/>
        </w:rPr>
        <w:t>如遇申购费率优惠活动，基金转换费用的构成同样适用于前述规则，即基金转换费用由基金赎回费用及基金申购补差费用构成。</w:t>
      </w:r>
      <w:r>
        <w:rPr>
          <w:rFonts w:hint="eastAsia"/>
        </w:rPr>
        <w:br/>
        <w:t>  </w:t>
      </w:r>
      <w:r w:rsidR="002E195B">
        <w:rPr>
          <w:rFonts w:hint="eastAsia"/>
        </w:rPr>
        <w:t>10、</w:t>
      </w:r>
      <w:r>
        <w:rPr>
          <w:rFonts w:hint="eastAsia"/>
        </w:rPr>
        <w:t xml:space="preserve"> 转换公式及其计算</w:t>
      </w:r>
      <w:r>
        <w:rPr>
          <w:rFonts w:hint="eastAsia"/>
        </w:rPr>
        <w:br/>
        <w:t>  （1）基金转出时赎回费的计算：</w:t>
      </w:r>
      <w:r>
        <w:rPr>
          <w:rFonts w:hint="eastAsia"/>
        </w:rPr>
        <w:br/>
        <w:t>  转出金额＝转出份额×转出基金当日基金份额净值</w:t>
      </w:r>
      <w:r>
        <w:rPr>
          <w:rFonts w:hint="eastAsia"/>
        </w:rPr>
        <w:br/>
        <w:t>  转出基金赎回费＝转出金额×转出基金赎回费率</w:t>
      </w:r>
      <w:r>
        <w:rPr>
          <w:rFonts w:hint="eastAsia"/>
        </w:rPr>
        <w:br/>
        <w:t>  转出净额＝转出金额－转出基金赎回费</w:t>
      </w:r>
      <w:r>
        <w:rPr>
          <w:rFonts w:hint="eastAsia"/>
        </w:rPr>
        <w:br/>
        <w:t>  （2）基金转入时申购补差费的计算：</w:t>
      </w:r>
      <w:r>
        <w:rPr>
          <w:rFonts w:hint="eastAsia"/>
        </w:rPr>
        <w:br/>
        <w:t>  计算补差费金额=（转出份额-再投资份额）×转出基金当日基金份额净值-（基金赎回费-再投资份额赎回费）</w:t>
      </w:r>
      <w:r>
        <w:rPr>
          <w:rFonts w:hint="eastAsia"/>
        </w:rPr>
        <w:br/>
        <w:t>  申购补差费＝Max{【计算补差费金额／（1＋转入基金申购费率）】×转入基金申购费率－【计算补差费金额／（1＋转出基金申购费率）】×转出基金申购费率，0}</w:t>
      </w:r>
      <w:r>
        <w:rPr>
          <w:rFonts w:hint="eastAsia"/>
        </w:rPr>
        <w:br/>
      </w:r>
      <w:r>
        <w:rPr>
          <w:rFonts w:hint="eastAsia"/>
        </w:rPr>
        <w:lastRenderedPageBreak/>
        <w:t>  净转入金额＝转出金额-转出基金赎回费-申购补差费</w:t>
      </w:r>
      <w:r>
        <w:rPr>
          <w:rFonts w:hint="eastAsia"/>
        </w:rPr>
        <w:br/>
        <w:t>  转入份额＝净转入金额÷转入基金当日基金份额净值</w:t>
      </w:r>
      <w:r>
        <w:rPr>
          <w:rFonts w:hint="eastAsia"/>
        </w:rPr>
        <w:br/>
        <w:t>  如果转入基金申购费适用固定费用时，则转入基金申购费=转入基金固定申购费。</w:t>
      </w:r>
      <w:r>
        <w:rPr>
          <w:rFonts w:hint="eastAsia"/>
        </w:rPr>
        <w:br/>
        <w:t>  如果转出基金申购费适用固定费用时，则转出基金申购费=转出基金固定申购费。</w:t>
      </w:r>
      <w:r>
        <w:rPr>
          <w:rFonts w:hint="eastAsia"/>
        </w:rPr>
        <w:br/>
        <w:t>  转入份额按照四舍五入的方法保留小数点后两位，由此产生的误差归入基金财产。</w:t>
      </w:r>
    </w:p>
    <w:p w:rsidR="00F1435E" w:rsidRDefault="00F1435E">
      <w:pPr>
        <w:widowControl/>
        <w:spacing w:line="360" w:lineRule="auto"/>
        <w:jc w:val="left"/>
        <w:rPr>
          <w:rFonts w:ascii="宋体" w:eastAsia="宋体" w:hAnsi="宋体" w:cs="宋体" w:hint="eastAsia"/>
          <w:kern w:val="0"/>
          <w:sz w:val="24"/>
          <w:szCs w:val="24"/>
        </w:rPr>
      </w:pPr>
    </w:p>
    <w:p w:rsidR="00F1435E" w:rsidRDefault="002E195B">
      <w:pPr>
        <w:pStyle w:val="zhangjiep"/>
        <w:spacing w:line="360" w:lineRule="auto"/>
        <w:ind w:leftChars="7" w:firstLineChars="196" w:firstLine="472"/>
        <w:rPr>
          <w:rFonts w:hint="eastAsia"/>
        </w:rPr>
      </w:pPr>
      <w:r>
        <w:rPr>
          <w:rFonts w:hint="eastAsia"/>
          <w:b/>
          <w:bCs/>
        </w:rPr>
        <w:t>五、</w:t>
      </w:r>
      <w:r w:rsidR="00F06705">
        <w:rPr>
          <w:rFonts w:hint="eastAsia"/>
          <w:b/>
          <w:bCs/>
        </w:rPr>
        <w:t>其他与转换相关的事项</w:t>
      </w:r>
    </w:p>
    <w:p w:rsidR="00F06705" w:rsidRDefault="00450CA1" w:rsidP="00F06705">
      <w:pPr>
        <w:pStyle w:val="neirong"/>
        <w:ind w:firstLineChars="200" w:firstLine="480"/>
        <w:rPr>
          <w:rFonts w:hint="eastAsia"/>
        </w:rPr>
      </w:pPr>
      <w:r>
        <w:rPr>
          <w:rFonts w:hint="eastAsia"/>
        </w:rPr>
        <w:t>1、上述基金</w:t>
      </w:r>
      <w:r w:rsidR="00F06705" w:rsidRPr="00F06705">
        <w:t>可以与本管理人旗下已开通转换业务的基金转换。</w:t>
      </w:r>
    </w:p>
    <w:p w:rsidR="00794118" w:rsidRDefault="00450CA1" w:rsidP="00F06705">
      <w:pPr>
        <w:pStyle w:val="neirong"/>
        <w:ind w:firstLineChars="200" w:firstLine="480"/>
        <w:rPr>
          <w:rFonts w:hint="eastAsia"/>
        </w:rPr>
      </w:pPr>
      <w:r>
        <w:rPr>
          <w:rFonts w:hint="eastAsia"/>
        </w:rPr>
        <w:t>2、</w:t>
      </w:r>
      <w:r w:rsidR="00794118" w:rsidRPr="00794118">
        <w:rPr>
          <w:rFonts w:hint="eastAsia"/>
        </w:rPr>
        <w:t>开通转换业务的销售机构</w:t>
      </w:r>
    </w:p>
    <w:p w:rsidR="00794118" w:rsidRDefault="00794118" w:rsidP="0055063C">
      <w:pPr>
        <w:pStyle w:val="neirong"/>
        <w:ind w:firstLineChars="200" w:firstLine="480"/>
        <w:rPr>
          <w:rFonts w:hint="eastAsia"/>
        </w:rPr>
      </w:pPr>
      <w:r w:rsidRPr="00794118">
        <w:rPr>
          <w:rFonts w:hint="eastAsia"/>
        </w:rPr>
        <w:t>基金转换只能在同一销售机构进行。转换的两只基金必须都是该销售机构销售的同一基金管理人管理的、在同一注册登记机构注册登记的基金。</w:t>
      </w:r>
      <w:r w:rsidRPr="00794118">
        <w:t xml:space="preserve"> </w:t>
      </w:r>
    </w:p>
    <w:p w:rsidR="00DD1F5F" w:rsidRDefault="00450CA1" w:rsidP="001A7EB5">
      <w:pPr>
        <w:pStyle w:val="neirong"/>
        <w:ind w:firstLineChars="200" w:firstLine="480"/>
        <w:rPr>
          <w:rFonts w:hint="eastAsia"/>
        </w:rPr>
      </w:pPr>
      <w:r>
        <w:rPr>
          <w:rFonts w:hint="eastAsia"/>
        </w:rPr>
        <w:t>3、</w:t>
      </w:r>
      <w:r w:rsidR="00F06705" w:rsidRPr="00F06705">
        <w:t>本公司旗下基金的转换业务规则以相关法律法规及基金管理人的相关规则为准。</w:t>
      </w:r>
    </w:p>
    <w:p w:rsidR="00F1435E" w:rsidRDefault="00F1435E">
      <w:pPr>
        <w:pStyle w:val="neirong"/>
        <w:rPr>
          <w:rFonts w:hint="eastAsia"/>
        </w:rPr>
      </w:pPr>
      <w:r>
        <w:rPr>
          <w:rFonts w:hint="eastAsia"/>
        </w:rPr>
        <w:t>  </w:t>
      </w:r>
      <w:r w:rsidR="006F6408">
        <w:rPr>
          <w:rFonts w:hint="eastAsia"/>
        </w:rPr>
        <w:t>如有任何疑问，</w:t>
      </w:r>
      <w:r w:rsidR="0055063C">
        <w:rPr>
          <w:rFonts w:hint="eastAsia"/>
        </w:rPr>
        <w:t>欢迎与我们</w:t>
      </w:r>
      <w:r>
        <w:rPr>
          <w:rFonts w:hint="eastAsia"/>
        </w:rPr>
        <w:t>联系。</w:t>
      </w:r>
      <w:r>
        <w:rPr>
          <w:rFonts w:hint="eastAsia"/>
        </w:rPr>
        <w:br/>
        <w:t>  客服热线：400-00-95526</w:t>
      </w:r>
      <w:r>
        <w:rPr>
          <w:rFonts w:hint="eastAsia"/>
        </w:rPr>
        <w:br/>
        <w:t>  官方网站：www.bobbns.com</w:t>
      </w:r>
      <w:r>
        <w:rPr>
          <w:rFonts w:hint="eastAsia"/>
        </w:rPr>
        <w:br/>
        <w:t>  风险揭示：</w:t>
      </w:r>
      <w:r>
        <w:rPr>
          <w:rFonts w:hint="eastAsia"/>
        </w:rPr>
        <w:br/>
        <w:t>  本基金管理人承诺以诚实信用、勤勉尽责的原则管理和运用基金资产，但不保证基金一定盈利，也不保证最低收益。敬请投资者在投资前认真阅读本基金《基金合同》和《招募说明书》</w:t>
      </w:r>
      <w:r w:rsidR="00743549">
        <w:rPr>
          <w:rFonts w:hint="eastAsia"/>
        </w:rPr>
        <w:t>等相关法律文件</w:t>
      </w:r>
      <w:r>
        <w:rPr>
          <w:rFonts w:hint="eastAsia"/>
        </w:rPr>
        <w:t>，选择与自身风险承受能力相匹配的产品。</w:t>
      </w:r>
      <w:r>
        <w:rPr>
          <w:rFonts w:hint="eastAsia"/>
        </w:rPr>
        <w:br/>
        <w:t>    </w:t>
      </w:r>
      <w:r>
        <w:rPr>
          <w:rFonts w:hint="eastAsia"/>
        </w:rPr>
        <w:br/>
        <w:t>  特此公告。</w:t>
      </w:r>
    </w:p>
    <w:p w:rsidR="00F1435E" w:rsidRDefault="00F1435E">
      <w:pPr>
        <w:widowControl/>
        <w:spacing w:line="360" w:lineRule="auto"/>
        <w:jc w:val="left"/>
        <w:rPr>
          <w:rFonts w:ascii="宋体" w:eastAsia="宋体" w:hAnsi="宋体" w:cs="宋体" w:hint="eastAsia"/>
          <w:kern w:val="0"/>
          <w:sz w:val="24"/>
          <w:szCs w:val="24"/>
        </w:rPr>
      </w:pPr>
    </w:p>
    <w:p w:rsidR="00F1435E" w:rsidRDefault="00F1435E">
      <w:pPr>
        <w:pStyle w:val="biaogeright"/>
        <w:spacing w:line="360" w:lineRule="auto"/>
        <w:rPr>
          <w:rFonts w:hint="eastAsia"/>
        </w:rPr>
      </w:pPr>
      <w:r>
        <w:rPr>
          <w:rFonts w:hAnsi="等线" w:hint="eastAsia"/>
          <w:color w:val="000000"/>
        </w:rPr>
        <w:t>中加基金管理有限公司</w:t>
      </w:r>
    </w:p>
    <w:p w:rsidR="00F1435E" w:rsidRDefault="00F1435E">
      <w:pPr>
        <w:pStyle w:val="biaogeright"/>
        <w:spacing w:line="360" w:lineRule="auto"/>
        <w:rPr>
          <w:rFonts w:hint="eastAsia"/>
        </w:rPr>
      </w:pPr>
      <w:r>
        <w:rPr>
          <w:rFonts w:hAnsi="等线" w:hint="eastAsia"/>
          <w:color w:val="000000"/>
        </w:rPr>
        <w:t>202</w:t>
      </w:r>
      <w:r w:rsidR="001A7EB5">
        <w:rPr>
          <w:rFonts w:hAnsi="等线" w:hint="eastAsia"/>
          <w:color w:val="000000"/>
        </w:rPr>
        <w:t>1</w:t>
      </w:r>
      <w:r>
        <w:rPr>
          <w:rFonts w:hAnsi="等线" w:hint="eastAsia"/>
          <w:color w:val="000000"/>
        </w:rPr>
        <w:t>年</w:t>
      </w:r>
      <w:r w:rsidR="001A7EB5">
        <w:rPr>
          <w:rFonts w:hAnsi="等线" w:hint="eastAsia"/>
          <w:color w:val="000000"/>
        </w:rPr>
        <w:t>1</w:t>
      </w:r>
      <w:r>
        <w:rPr>
          <w:rFonts w:hAnsi="等线" w:hint="eastAsia"/>
          <w:color w:val="000000"/>
        </w:rPr>
        <w:t>月</w:t>
      </w:r>
      <w:r w:rsidR="001A7EB5">
        <w:rPr>
          <w:rFonts w:hAnsi="等线" w:hint="eastAsia"/>
          <w:color w:val="000000"/>
        </w:rPr>
        <w:t>1</w:t>
      </w:r>
      <w:r>
        <w:rPr>
          <w:rFonts w:hAnsi="等线" w:hint="eastAsia"/>
          <w:color w:val="000000"/>
        </w:rPr>
        <w:t>日</w:t>
      </w:r>
    </w:p>
    <w:sectPr w:rsidR="00F1435E">
      <w:pgSz w:w="11926" w:h="15840"/>
      <w:pgMar w:top="1418" w:right="1418" w:bottom="853"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09B" w:rsidRDefault="00A7509B" w:rsidP="006D21DB">
      <w:r>
        <w:separator/>
      </w:r>
    </w:p>
  </w:endnote>
  <w:endnote w:type="continuationSeparator" w:id="0">
    <w:p w:rsidR="00A7509B" w:rsidRDefault="00A7509B" w:rsidP="006D21DB">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09B" w:rsidRDefault="00A7509B" w:rsidP="006D21DB">
      <w:r>
        <w:separator/>
      </w:r>
    </w:p>
  </w:footnote>
  <w:footnote w:type="continuationSeparator" w:id="0">
    <w:p w:rsidR="00A7509B" w:rsidRDefault="00A7509B" w:rsidP="006D2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oNotTrackMoves/>
  <w:defaultTabStop w:val="720"/>
  <w:noPunctuationKerning/>
  <w:characterSpacingControl w:val="compressPunctuation"/>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E386E"/>
    <w:rsid w:val="00025559"/>
    <w:rsid w:val="000858FB"/>
    <w:rsid w:val="00193CCD"/>
    <w:rsid w:val="001A7EB5"/>
    <w:rsid w:val="00233B80"/>
    <w:rsid w:val="0027107A"/>
    <w:rsid w:val="002E195B"/>
    <w:rsid w:val="002F1CB0"/>
    <w:rsid w:val="00311E5D"/>
    <w:rsid w:val="00374228"/>
    <w:rsid w:val="00381E29"/>
    <w:rsid w:val="003D06FB"/>
    <w:rsid w:val="003D1DDD"/>
    <w:rsid w:val="004176C3"/>
    <w:rsid w:val="00444076"/>
    <w:rsid w:val="00450679"/>
    <w:rsid w:val="00450CA1"/>
    <w:rsid w:val="00454B75"/>
    <w:rsid w:val="0046598A"/>
    <w:rsid w:val="00477B40"/>
    <w:rsid w:val="004E2478"/>
    <w:rsid w:val="0055063C"/>
    <w:rsid w:val="005814E7"/>
    <w:rsid w:val="00582683"/>
    <w:rsid w:val="0059226E"/>
    <w:rsid w:val="005A5C35"/>
    <w:rsid w:val="00670BEC"/>
    <w:rsid w:val="00680F65"/>
    <w:rsid w:val="006A482E"/>
    <w:rsid w:val="006C2A29"/>
    <w:rsid w:val="006D21DB"/>
    <w:rsid w:val="006E7019"/>
    <w:rsid w:val="006F6408"/>
    <w:rsid w:val="00737BB0"/>
    <w:rsid w:val="007411B5"/>
    <w:rsid w:val="00743549"/>
    <w:rsid w:val="00746C9C"/>
    <w:rsid w:val="00794118"/>
    <w:rsid w:val="008B6B9E"/>
    <w:rsid w:val="009342C9"/>
    <w:rsid w:val="00970E94"/>
    <w:rsid w:val="009A0870"/>
    <w:rsid w:val="009A51CD"/>
    <w:rsid w:val="009B7997"/>
    <w:rsid w:val="009C1879"/>
    <w:rsid w:val="009E386E"/>
    <w:rsid w:val="00A7509B"/>
    <w:rsid w:val="00AD510F"/>
    <w:rsid w:val="00AF6D54"/>
    <w:rsid w:val="00BD0D92"/>
    <w:rsid w:val="00C333C6"/>
    <w:rsid w:val="00C379CF"/>
    <w:rsid w:val="00C849CB"/>
    <w:rsid w:val="00CB0C53"/>
    <w:rsid w:val="00CB4E89"/>
    <w:rsid w:val="00D33FEB"/>
    <w:rsid w:val="00D573AC"/>
    <w:rsid w:val="00DD1F5F"/>
    <w:rsid w:val="00DD6DB1"/>
    <w:rsid w:val="00E136D6"/>
    <w:rsid w:val="00E167CE"/>
    <w:rsid w:val="00E2768F"/>
    <w:rsid w:val="00E65B9C"/>
    <w:rsid w:val="00EC75C1"/>
    <w:rsid w:val="00F06705"/>
    <w:rsid w:val="00F1435E"/>
    <w:rsid w:val="00F7477B"/>
    <w:rsid w:val="00F764A4"/>
    <w:rsid w:val="00FC356C"/>
    <w:rsid w:val="00FE07A7"/>
    <w:rsid w:val="2F85633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sz w:val="21"/>
      <w:szCs w:val="21"/>
    </w:rPr>
  </w:style>
  <w:style w:type="character" w:customStyle="1" w:styleId="Char">
    <w:name w:val="批注框文本 Char"/>
    <w:basedOn w:val="a0"/>
    <w:link w:val="a4"/>
    <w:uiPriority w:val="99"/>
    <w:semiHidden/>
    <w:rPr>
      <w:rFonts w:cs="Times New Roman"/>
      <w:kern w:val="2"/>
      <w:sz w:val="18"/>
      <w:szCs w:val="18"/>
    </w:rPr>
  </w:style>
  <w:style w:type="character" w:customStyle="1" w:styleId="Char0">
    <w:name w:val="批注主题 Char"/>
    <w:basedOn w:val="Char1"/>
    <w:link w:val="a5"/>
    <w:uiPriority w:val="99"/>
    <w:semiHidden/>
    <w:rPr>
      <w:b/>
      <w:bCs/>
    </w:rPr>
  </w:style>
  <w:style w:type="character" w:customStyle="1" w:styleId="Char2">
    <w:name w:val="页眉 Char"/>
    <w:link w:val="a6"/>
    <w:uiPriority w:val="99"/>
    <w:locked/>
    <w:rPr>
      <w:rFonts w:ascii="Times New Roman" w:hAnsi="Times New Roman" w:cs="Times New Roman" w:hint="default"/>
      <w:sz w:val="18"/>
      <w:szCs w:val="18"/>
    </w:rPr>
  </w:style>
  <w:style w:type="character" w:customStyle="1" w:styleId="Char1">
    <w:name w:val="批注文字 Char"/>
    <w:basedOn w:val="a0"/>
    <w:link w:val="a7"/>
    <w:uiPriority w:val="99"/>
    <w:semiHidden/>
    <w:rPr>
      <w:rFonts w:cs="Times New Roman"/>
      <w:kern w:val="2"/>
      <w:sz w:val="21"/>
      <w:szCs w:val="22"/>
    </w:rPr>
  </w:style>
  <w:style w:type="character" w:customStyle="1" w:styleId="Char3">
    <w:name w:val="页脚 Char"/>
    <w:link w:val="a8"/>
    <w:uiPriority w:val="99"/>
    <w:locked/>
    <w:rPr>
      <w:rFonts w:ascii="Times New Roman" w:hAnsi="Times New Roman" w:cs="Times New Roman" w:hint="default"/>
      <w:sz w:val="18"/>
      <w:szCs w:val="18"/>
    </w:rPr>
  </w:style>
  <w:style w:type="character" w:customStyle="1" w:styleId="a9">
    <w:name w:val="页脚 字符"/>
    <w:uiPriority w:val="99"/>
    <w:semiHidden/>
    <w:rPr>
      <w:rFonts w:cs="Times New Roman"/>
      <w:sz w:val="18"/>
      <w:szCs w:val="18"/>
    </w:rPr>
  </w:style>
  <w:style w:type="character" w:customStyle="1" w:styleId="aa">
    <w:name w:val="页眉 字符"/>
    <w:uiPriority w:val="99"/>
    <w:semiHidden/>
    <w:rPr>
      <w:rFonts w:cs="Times New Roman"/>
      <w:sz w:val="18"/>
      <w:szCs w:val="18"/>
    </w:rPr>
  </w:style>
  <w:style w:type="paragraph" w:styleId="a7">
    <w:name w:val="annotation text"/>
    <w:basedOn w:val="a"/>
    <w:link w:val="Char1"/>
    <w:uiPriority w:val="99"/>
    <w:unhideWhenUsed/>
    <w:pPr>
      <w:jc w:val="left"/>
    </w:p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lang/>
    </w:rPr>
  </w:style>
  <w:style w:type="paragraph" w:styleId="a5">
    <w:name w:val="annotation subject"/>
    <w:basedOn w:val="a7"/>
    <w:next w:val="a7"/>
    <w:link w:val="Char0"/>
    <w:uiPriority w:val="99"/>
    <w:unhideWhenUsed/>
    <w:rPr>
      <w:b/>
      <w:bCs/>
    </w:rPr>
  </w:style>
  <w:style w:type="paragraph" w:styleId="a8">
    <w:name w:val="footer"/>
    <w:basedOn w:val="a"/>
    <w:link w:val="Char3"/>
    <w:uiPriority w:val="99"/>
    <w:unhideWhenUsed/>
    <w:pPr>
      <w:tabs>
        <w:tab w:val="center" w:pos="4153"/>
        <w:tab w:val="right" w:pos="8306"/>
      </w:tabs>
      <w:snapToGrid w:val="0"/>
      <w:jc w:val="left"/>
    </w:pPr>
    <w:rPr>
      <w:rFonts w:ascii="Times New Roman" w:hAnsi="Times New Roman"/>
      <w:kern w:val="0"/>
      <w:sz w:val="18"/>
      <w:szCs w:val="18"/>
      <w:lang/>
    </w:rPr>
  </w:style>
  <w:style w:type="paragraph" w:styleId="a4">
    <w:name w:val="Balloon Text"/>
    <w:basedOn w:val="a"/>
    <w:link w:val="Char"/>
    <w:uiPriority w:val="99"/>
    <w:unhideWhenUsed/>
    <w:rPr>
      <w:sz w:val="18"/>
      <w:szCs w:val="18"/>
    </w:rPr>
  </w:style>
  <w:style w:type="paragraph" w:customStyle="1" w:styleId="zhangjiep">
    <w:name w:val="zhangjie_p"/>
    <w:basedOn w:val="a"/>
    <w:pPr>
      <w:widowControl/>
      <w:autoSpaceDE w:val="0"/>
      <w:autoSpaceDN w:val="0"/>
      <w:adjustRightInd w:val="0"/>
      <w:spacing w:before="24" w:line="288" w:lineRule="auto"/>
      <w:ind w:left="15"/>
      <w:jc w:val="left"/>
      <w:outlineLvl w:val="1"/>
    </w:pPr>
    <w:rPr>
      <w:rFonts w:ascii="宋体" w:eastAsia="宋体" w:hAnsi="宋体" w:cs="宋体"/>
      <w:kern w:val="0"/>
      <w:sz w:val="24"/>
      <w:szCs w:val="24"/>
    </w:rPr>
  </w:style>
  <w:style w:type="paragraph" w:customStyle="1" w:styleId="msonormalfy">
    <w:name w:val="msonormalfy"/>
    <w:qFormat/>
    <w:pPr>
      <w:widowControl w:val="0"/>
      <w:jc w:val="center"/>
    </w:pPr>
    <w:rPr>
      <w:rFonts w:cs="Times New Roman"/>
      <w:kern w:val="2"/>
      <w:sz w:val="33"/>
      <w:szCs w:val="22"/>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msonormal1">
    <w:name w:val="msonormal1"/>
    <w:qFormat/>
    <w:pPr>
      <w:widowControl w:val="0"/>
      <w:jc w:val="both"/>
    </w:pPr>
    <w:rPr>
      <w:rFonts w:cs="Times New Roman"/>
      <w:kern w:val="2"/>
      <w:sz w:val="21"/>
      <w:szCs w:val="22"/>
    </w:rPr>
  </w:style>
  <w:style w:type="paragraph" w:customStyle="1" w:styleId="msonormalnone">
    <w:name w:val="msonormal_none"/>
    <w:qFormat/>
    <w:pPr>
      <w:widowControl w:val="0"/>
    </w:pPr>
    <w:rPr>
      <w:rFonts w:cs="Times New Roman"/>
      <w:kern w:val="2"/>
      <w:sz w:val="21"/>
      <w:szCs w:val="22"/>
    </w:rPr>
  </w:style>
  <w:style w:type="paragraph" w:customStyle="1" w:styleId="biaogeleft1">
    <w:name w:val="biaoge_left1"/>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hide">
    <w:name w:val="hide"/>
    <w:basedOn w:val="a"/>
    <w:pPr>
      <w:widowControl/>
      <w:spacing w:before="100" w:beforeAutospacing="1" w:after="100" w:afterAutospacing="1"/>
      <w:jc w:val="left"/>
    </w:pPr>
    <w:rPr>
      <w:rFonts w:ascii="宋体" w:eastAsia="宋体" w:hAnsi="宋体" w:cs="宋体"/>
      <w:vanish/>
      <w:kern w:val="0"/>
      <w:sz w:val="24"/>
      <w:szCs w:val="24"/>
    </w:rPr>
  </w:style>
  <w:style w:type="paragraph" w:customStyle="1" w:styleId="zhongyaotishi">
    <w:name w:val="zhongyaotishi"/>
    <w:basedOn w:val="a"/>
    <w:pPr>
      <w:widowControl/>
      <w:autoSpaceDE w:val="0"/>
      <w:autoSpaceDN w:val="0"/>
      <w:adjustRightInd w:val="0"/>
      <w:spacing w:before="30" w:line="288" w:lineRule="auto"/>
      <w:ind w:left="15" w:firstLine="482"/>
      <w:jc w:val="left"/>
    </w:pPr>
    <w:rPr>
      <w:rFonts w:ascii="宋体" w:eastAsia="宋体" w:hAnsi="宋体" w:cs="宋体"/>
      <w:kern w:val="0"/>
      <w:sz w:val="24"/>
      <w:szCs w:val="24"/>
    </w:rPr>
  </w:style>
  <w:style w:type="paragraph" w:customStyle="1" w:styleId="dazhangjie">
    <w:name w:val="dazhangjie"/>
    <w:basedOn w:val="a"/>
    <w:pPr>
      <w:widowControl/>
      <w:autoSpaceDE w:val="0"/>
      <w:autoSpaceDN w:val="0"/>
      <w:adjustRightInd w:val="0"/>
      <w:spacing w:before="30" w:line="288" w:lineRule="auto"/>
      <w:ind w:left="15"/>
      <w:jc w:val="left"/>
      <w:outlineLvl w:val="0"/>
    </w:pPr>
    <w:rPr>
      <w:rFonts w:ascii="宋体" w:eastAsia="宋体" w:hAnsi="宋体" w:cs="宋体"/>
      <w:kern w:val="0"/>
      <w:sz w:val="24"/>
      <w:szCs w:val="24"/>
    </w:rPr>
  </w:style>
  <w:style w:type="paragraph" w:customStyle="1" w:styleId="zhangjiep2">
    <w:name w:val="zhangjie_p2"/>
    <w:basedOn w:val="a"/>
    <w:pPr>
      <w:widowControl/>
      <w:autoSpaceDE w:val="0"/>
      <w:autoSpaceDN w:val="0"/>
      <w:adjustRightInd w:val="0"/>
      <w:spacing w:before="24" w:line="288" w:lineRule="auto"/>
      <w:ind w:left="15"/>
      <w:jc w:val="left"/>
    </w:pPr>
    <w:rPr>
      <w:rFonts w:ascii="宋体" w:eastAsia="宋体" w:hAnsi="宋体" w:cs="宋体"/>
      <w:kern w:val="0"/>
      <w:sz w:val="24"/>
      <w:szCs w:val="24"/>
    </w:rPr>
  </w:style>
  <w:style w:type="paragraph" w:customStyle="1" w:styleId="biaogeright1">
    <w:name w:val="biaoge_right1"/>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show">
    <w:name w:val="show"/>
    <w:basedOn w:val="a"/>
    <w:pPr>
      <w:widowControl/>
      <w:spacing w:before="100" w:beforeAutospacing="1" w:after="100" w:afterAutospacing="1"/>
      <w:jc w:val="left"/>
    </w:pPr>
    <w:rPr>
      <w:rFonts w:ascii="宋体" w:eastAsia="宋体" w:hAnsi="宋体" w:cs="宋体"/>
      <w:kern w:val="0"/>
      <w:sz w:val="24"/>
      <w:szCs w:val="24"/>
    </w:rPr>
  </w:style>
  <w:style w:type="paragraph" w:customStyle="1" w:styleId="biaogeright">
    <w:name w:val="biaoge_right"/>
    <w:basedOn w:val="a"/>
    <w:pPr>
      <w:widowControl/>
      <w:autoSpaceDE w:val="0"/>
      <w:autoSpaceDN w:val="0"/>
      <w:adjustRightInd w:val="0"/>
      <w:spacing w:before="29" w:line="288" w:lineRule="auto"/>
      <w:ind w:left="15"/>
      <w:jc w:val="right"/>
    </w:pPr>
    <w:rPr>
      <w:rFonts w:ascii="宋体" w:eastAsia="宋体" w:hAnsi="宋体" w:cs="宋体"/>
      <w:kern w:val="0"/>
      <w:sz w:val="24"/>
      <w:szCs w:val="24"/>
    </w:rPr>
  </w:style>
  <w:style w:type="paragraph" w:customStyle="1" w:styleId="biaogeleft">
    <w:name w:val="biaoge_left"/>
    <w:basedOn w:val="a"/>
    <w:pPr>
      <w:widowControl/>
      <w:autoSpaceDE w:val="0"/>
      <w:autoSpaceDN w:val="0"/>
      <w:adjustRightInd w:val="0"/>
      <w:spacing w:before="29" w:line="288" w:lineRule="auto"/>
      <w:ind w:left="15"/>
      <w:jc w:val="left"/>
    </w:pPr>
    <w:rPr>
      <w:rFonts w:ascii="宋体" w:eastAsia="宋体" w:hAnsi="宋体" w:cs="宋体"/>
      <w:kern w:val="0"/>
      <w:sz w:val="24"/>
      <w:szCs w:val="24"/>
    </w:rPr>
  </w:style>
  <w:style w:type="paragraph" w:customStyle="1" w:styleId="biaogecenter">
    <w:name w:val="biaoge_center"/>
    <w:basedOn w:val="a"/>
    <w:pPr>
      <w:widowControl/>
      <w:autoSpaceDE w:val="0"/>
      <w:autoSpaceDN w:val="0"/>
      <w:adjustRightInd w:val="0"/>
      <w:spacing w:before="29" w:line="288" w:lineRule="auto"/>
      <w:ind w:left="15"/>
      <w:jc w:val="center"/>
    </w:pPr>
    <w:rPr>
      <w:rFonts w:ascii="宋体" w:eastAsia="宋体" w:hAnsi="宋体" w:cs="宋体"/>
      <w:kern w:val="0"/>
      <w:sz w:val="24"/>
      <w:szCs w:val="24"/>
    </w:rPr>
  </w:style>
  <w:style w:type="paragraph" w:customStyle="1" w:styleId="neirong">
    <w:name w:val="neirong"/>
    <w:basedOn w:val="a"/>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b">
    <w:name w:val="Normal (Web)"/>
    <w:basedOn w:val="a"/>
    <w:uiPriority w:val="99"/>
    <w:semiHidden/>
    <w:unhideWhenUsed/>
    <w:rsid w:val="00DD1F5F"/>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56125">
      <w:bodyDiv w:val="1"/>
      <w:marLeft w:val="0"/>
      <w:marRight w:val="0"/>
      <w:marTop w:val="0"/>
      <w:marBottom w:val="0"/>
      <w:divBdr>
        <w:top w:val="none" w:sz="0" w:space="0" w:color="auto"/>
        <w:left w:val="none" w:sz="0" w:space="0" w:color="auto"/>
        <w:bottom w:val="none" w:sz="0" w:space="0" w:color="auto"/>
        <w:right w:val="none" w:sz="0" w:space="0" w:color="auto"/>
      </w:divBdr>
    </w:div>
    <w:div w:id="21707625">
      <w:bodyDiv w:val="1"/>
      <w:marLeft w:val="0"/>
      <w:marRight w:val="0"/>
      <w:marTop w:val="0"/>
      <w:marBottom w:val="0"/>
      <w:divBdr>
        <w:top w:val="none" w:sz="0" w:space="0" w:color="auto"/>
        <w:left w:val="none" w:sz="0" w:space="0" w:color="auto"/>
        <w:bottom w:val="none" w:sz="0" w:space="0" w:color="auto"/>
        <w:right w:val="none" w:sz="0" w:space="0" w:color="auto"/>
      </w:divBdr>
    </w:div>
    <w:div w:id="2145343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314</Words>
  <Characters>1796</Characters>
  <Application>Microsoft Office Word</Application>
  <DocSecurity>4</DocSecurity>
  <Lines>14</Lines>
  <Paragraphs>4</Paragraphs>
  <ScaleCrop>false</ScaleCrop>
  <Company/>
  <LinksUpToDate>false</LinksUpToDate>
  <CharactersWithSpaces>2106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houxinye</dc:creator>
  <cp:keywords/>
  <cp:lastModifiedBy>ZHONGM</cp:lastModifiedBy>
  <cp:revision>2</cp:revision>
  <cp:lastPrinted>2020-12-31T03:00:00Z</cp:lastPrinted>
  <dcterms:created xsi:type="dcterms:W3CDTF">2021-01-01T16:00:00Z</dcterms:created>
  <dcterms:modified xsi:type="dcterms:W3CDTF">2021-01-01T16:00:00Z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