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531" w:rsidRDefault="009944B9" w:rsidP="004D1F39">
      <w:pPr>
        <w:widowControl/>
        <w:jc w:val="center"/>
        <w:rPr>
          <w:rFonts w:ascii="Arial" w:hAnsi="宋体" w:cs="Arial" w:hint="eastAsia"/>
          <w:b/>
          <w:kern w:val="0"/>
          <w:sz w:val="28"/>
          <w:szCs w:val="28"/>
        </w:rPr>
      </w:pPr>
      <w:r w:rsidRPr="00C31CDA">
        <w:rPr>
          <w:rFonts w:ascii="Arial" w:hAnsi="宋体" w:cs="Arial"/>
          <w:b/>
          <w:kern w:val="0"/>
          <w:sz w:val="28"/>
          <w:szCs w:val="28"/>
        </w:rPr>
        <w:t>民生加银基金管理有限公司关于旗下</w:t>
      </w:r>
      <w:r w:rsidR="00E270C4">
        <w:rPr>
          <w:rFonts w:ascii="Arial" w:hAnsi="宋体" w:cs="Arial" w:hint="eastAsia"/>
          <w:b/>
          <w:kern w:val="0"/>
          <w:sz w:val="28"/>
          <w:szCs w:val="28"/>
        </w:rPr>
        <w:t>部分</w:t>
      </w:r>
      <w:r w:rsidRPr="00C31CDA">
        <w:rPr>
          <w:rFonts w:ascii="Arial" w:hAnsi="宋体" w:cs="Arial"/>
          <w:b/>
          <w:kern w:val="0"/>
          <w:sz w:val="28"/>
          <w:szCs w:val="28"/>
        </w:rPr>
        <w:t>基金</w:t>
      </w:r>
    </w:p>
    <w:p w:rsidR="009944B9" w:rsidRPr="00110531" w:rsidRDefault="009944B9" w:rsidP="00110531">
      <w:pPr>
        <w:widowControl/>
        <w:jc w:val="center"/>
        <w:rPr>
          <w:rFonts w:ascii="Arial" w:hAnsi="宋体" w:cs="Arial"/>
          <w:b/>
          <w:kern w:val="0"/>
          <w:sz w:val="28"/>
          <w:szCs w:val="28"/>
        </w:rPr>
      </w:pPr>
      <w:r w:rsidRPr="00C31CDA">
        <w:rPr>
          <w:rFonts w:ascii="Arial" w:hAnsi="宋体" w:cs="Arial"/>
          <w:b/>
          <w:kern w:val="0"/>
          <w:sz w:val="28"/>
          <w:szCs w:val="28"/>
        </w:rPr>
        <w:t>持有的</w:t>
      </w:r>
      <w:r w:rsidR="00020029">
        <w:rPr>
          <w:rFonts w:ascii="Arial" w:hAnsi="宋体" w:cs="Arial" w:hint="eastAsia"/>
          <w:b/>
          <w:kern w:val="0"/>
          <w:sz w:val="28"/>
          <w:szCs w:val="28"/>
        </w:rPr>
        <w:t>债券</w:t>
      </w:r>
      <w:r w:rsidR="00110531">
        <w:rPr>
          <w:rFonts w:ascii="Arial" w:hAnsi="宋体" w:cs="Arial" w:hint="eastAsia"/>
          <w:b/>
          <w:kern w:val="0"/>
          <w:sz w:val="28"/>
          <w:szCs w:val="28"/>
        </w:rPr>
        <w:t>进行估值调整</w:t>
      </w:r>
      <w:r w:rsidRPr="00C31CDA">
        <w:rPr>
          <w:rFonts w:ascii="Arial" w:hAnsi="宋体" w:cs="Arial"/>
          <w:b/>
          <w:kern w:val="0"/>
          <w:sz w:val="28"/>
          <w:szCs w:val="28"/>
        </w:rPr>
        <w:t>的提示性公告</w:t>
      </w:r>
      <w:r w:rsidRPr="00C31CDA">
        <w:rPr>
          <w:rFonts w:ascii="Arial" w:hAnsi="Arial" w:cs="Arial"/>
          <w:b/>
          <w:kern w:val="0"/>
          <w:sz w:val="28"/>
          <w:szCs w:val="28"/>
        </w:rPr>
        <w:t xml:space="preserve"> </w:t>
      </w:r>
    </w:p>
    <w:p w:rsidR="009944B9" w:rsidRPr="004D6C09" w:rsidRDefault="009944B9" w:rsidP="009944B9">
      <w:pPr>
        <w:widowControl/>
        <w:jc w:val="center"/>
        <w:rPr>
          <w:rFonts w:ascii="Arial" w:hAnsi="Arial" w:cs="Arial"/>
          <w:kern w:val="0"/>
          <w:sz w:val="24"/>
          <w:szCs w:val="24"/>
        </w:rPr>
      </w:pPr>
      <w:r w:rsidRPr="004D6C09">
        <w:rPr>
          <w:rFonts w:ascii="Arial" w:hAnsi="Arial" w:cs="Arial"/>
          <w:kern w:val="0"/>
          <w:sz w:val="24"/>
          <w:szCs w:val="24"/>
        </w:rPr>
        <w:t> </w:t>
      </w:r>
    </w:p>
    <w:p w:rsidR="001C1480" w:rsidRDefault="00E270C4" w:rsidP="00772D6C">
      <w:pPr>
        <w:widowControl/>
        <w:spacing w:line="360" w:lineRule="auto"/>
        <w:ind w:firstLineChars="236" w:firstLine="566"/>
        <w:jc w:val="left"/>
        <w:rPr>
          <w:rFonts w:ascii="Times New Roman" w:hAnsi="Times New Roman"/>
          <w:color w:val="000000"/>
          <w:sz w:val="24"/>
          <w:szCs w:val="24"/>
        </w:rPr>
      </w:pPr>
      <w:r w:rsidRPr="00E270C4">
        <w:rPr>
          <w:rFonts w:ascii="Times New Roman" w:hAnsi="Times New Roman" w:hint="eastAsia"/>
          <w:color w:val="000000"/>
          <w:sz w:val="24"/>
          <w:szCs w:val="24"/>
        </w:rPr>
        <w:t>根据中国证监会《中国证监会关于证券投资基金估值业务的指导意见》（中国证监会发</w:t>
      </w:r>
      <w:r w:rsidRPr="00E270C4">
        <w:rPr>
          <w:rFonts w:ascii="Times New Roman" w:hAnsi="Times New Roman"/>
          <w:color w:val="000000"/>
          <w:sz w:val="24"/>
          <w:szCs w:val="24"/>
        </w:rPr>
        <w:t>[2017]</w:t>
      </w:r>
      <w:r w:rsidRPr="00E270C4">
        <w:rPr>
          <w:rFonts w:ascii="Times New Roman" w:hAnsi="Times New Roman" w:hint="eastAsia"/>
          <w:color w:val="000000"/>
          <w:sz w:val="24"/>
          <w:szCs w:val="24"/>
        </w:rPr>
        <w:t>第</w:t>
      </w:r>
      <w:r w:rsidRPr="00E270C4">
        <w:rPr>
          <w:rFonts w:ascii="Times New Roman" w:hAnsi="Times New Roman"/>
          <w:color w:val="000000"/>
          <w:sz w:val="24"/>
          <w:szCs w:val="24"/>
        </w:rPr>
        <w:t>13</w:t>
      </w:r>
      <w:r w:rsidRPr="00E270C4">
        <w:rPr>
          <w:rFonts w:ascii="Times New Roman" w:hAnsi="Times New Roman" w:hint="eastAsia"/>
          <w:color w:val="000000"/>
          <w:sz w:val="24"/>
          <w:szCs w:val="24"/>
        </w:rPr>
        <w:t>号）、民生加银基金管理有限公司（以下简称“本公司”）的估值政策和程序等有关规定，经本公司与</w:t>
      </w:r>
      <w:r>
        <w:rPr>
          <w:rFonts w:ascii="Times New Roman" w:hAnsi="Times New Roman" w:hint="eastAsia"/>
          <w:color w:val="000000"/>
          <w:sz w:val="24"/>
          <w:szCs w:val="24"/>
        </w:rPr>
        <w:t>基金托管人</w:t>
      </w:r>
      <w:r w:rsidRPr="00E270C4">
        <w:rPr>
          <w:rFonts w:ascii="Times New Roman" w:hAnsi="Times New Roman" w:hint="eastAsia"/>
          <w:color w:val="000000"/>
          <w:sz w:val="24"/>
          <w:szCs w:val="24"/>
        </w:rPr>
        <w:t>协商一致，决定于</w:t>
      </w:r>
      <w:r w:rsidRPr="00E270C4">
        <w:rPr>
          <w:rFonts w:ascii="Times New Roman" w:hAnsi="Times New Roman"/>
          <w:color w:val="000000"/>
          <w:sz w:val="24"/>
          <w:szCs w:val="24"/>
        </w:rPr>
        <w:t>20</w:t>
      </w:r>
      <w:r w:rsidR="00804C0C">
        <w:rPr>
          <w:rFonts w:ascii="Times New Roman" w:hAnsi="Times New Roman" w:hint="eastAsia"/>
          <w:color w:val="000000"/>
          <w:sz w:val="24"/>
          <w:szCs w:val="24"/>
        </w:rPr>
        <w:t>20</w:t>
      </w:r>
      <w:r w:rsidRPr="00E270C4">
        <w:rPr>
          <w:rFonts w:ascii="Times New Roman" w:hAnsi="Times New Roman" w:hint="eastAsia"/>
          <w:color w:val="000000"/>
          <w:sz w:val="24"/>
          <w:szCs w:val="24"/>
        </w:rPr>
        <w:t>年</w:t>
      </w:r>
      <w:r w:rsidR="00605840">
        <w:rPr>
          <w:rFonts w:ascii="Times New Roman" w:hAnsi="Times New Roman" w:hint="eastAsia"/>
          <w:color w:val="000000"/>
          <w:sz w:val="24"/>
          <w:szCs w:val="24"/>
        </w:rPr>
        <w:t>9</w:t>
      </w:r>
      <w:r w:rsidRPr="00E270C4">
        <w:rPr>
          <w:rFonts w:ascii="Times New Roman" w:hAnsi="Times New Roman" w:hint="eastAsia"/>
          <w:color w:val="000000"/>
          <w:sz w:val="24"/>
          <w:szCs w:val="24"/>
        </w:rPr>
        <w:t>月</w:t>
      </w:r>
      <w:r w:rsidR="00605840">
        <w:rPr>
          <w:rFonts w:ascii="Times New Roman" w:hAnsi="Times New Roman" w:hint="eastAsia"/>
          <w:color w:val="000000"/>
          <w:sz w:val="24"/>
          <w:szCs w:val="24"/>
        </w:rPr>
        <w:t>25</w:t>
      </w:r>
      <w:r w:rsidRPr="00E270C4">
        <w:rPr>
          <w:rFonts w:ascii="Times New Roman" w:hAnsi="Times New Roman" w:hint="eastAsia"/>
          <w:color w:val="000000"/>
          <w:sz w:val="24"/>
          <w:szCs w:val="24"/>
        </w:rPr>
        <w:t>日起对本公司旗下部分基金所持有</w:t>
      </w:r>
      <w:r>
        <w:rPr>
          <w:rFonts w:ascii="Times New Roman" w:hAnsi="Times New Roman" w:hint="eastAsia"/>
          <w:color w:val="000000"/>
          <w:sz w:val="24"/>
          <w:szCs w:val="24"/>
        </w:rPr>
        <w:t>的</w:t>
      </w:r>
      <w:r w:rsidRPr="00E270C4">
        <w:rPr>
          <w:rFonts w:ascii="Times New Roman" w:hAnsi="Times New Roman" w:hint="eastAsia"/>
          <w:color w:val="000000"/>
          <w:sz w:val="24"/>
          <w:szCs w:val="24"/>
        </w:rPr>
        <w:t>“</w:t>
      </w:r>
      <w:r w:rsidRPr="00E270C4">
        <w:rPr>
          <w:rFonts w:ascii="Times New Roman" w:hAnsi="Times New Roman" w:hint="eastAsia"/>
          <w:color w:val="000000"/>
          <w:sz w:val="24"/>
          <w:szCs w:val="24"/>
        </w:rPr>
        <w:t>1</w:t>
      </w:r>
      <w:r w:rsidR="00711F72">
        <w:rPr>
          <w:rFonts w:ascii="Times New Roman" w:hAnsi="Times New Roman" w:hint="eastAsia"/>
          <w:color w:val="000000"/>
          <w:sz w:val="24"/>
          <w:szCs w:val="24"/>
        </w:rPr>
        <w:t>9</w:t>
      </w:r>
      <w:r w:rsidR="00711F72">
        <w:rPr>
          <w:rFonts w:ascii="Times New Roman" w:hAnsi="Times New Roman" w:hint="eastAsia"/>
          <w:color w:val="000000"/>
          <w:sz w:val="24"/>
          <w:szCs w:val="24"/>
        </w:rPr>
        <w:t>恒大</w:t>
      </w:r>
      <w:r w:rsidRPr="00E270C4">
        <w:rPr>
          <w:rFonts w:ascii="Times New Roman" w:hAnsi="Times New Roman" w:hint="eastAsia"/>
          <w:color w:val="000000"/>
          <w:sz w:val="24"/>
          <w:szCs w:val="24"/>
        </w:rPr>
        <w:t>0</w:t>
      </w:r>
      <w:r w:rsidR="00711F72">
        <w:rPr>
          <w:rFonts w:ascii="Times New Roman" w:hAnsi="Times New Roman" w:hint="eastAsia"/>
          <w:color w:val="000000"/>
          <w:sz w:val="24"/>
          <w:szCs w:val="24"/>
        </w:rPr>
        <w:t>1</w:t>
      </w:r>
      <w:r w:rsidRPr="00E270C4">
        <w:rPr>
          <w:rFonts w:ascii="Times New Roman" w:hAnsi="Times New Roman" w:hint="eastAsia"/>
          <w:color w:val="000000"/>
          <w:sz w:val="24"/>
          <w:szCs w:val="24"/>
        </w:rPr>
        <w:t>”（债券代码</w:t>
      </w:r>
      <w:r w:rsidR="00711F72">
        <w:rPr>
          <w:rFonts w:ascii="Times New Roman" w:hAnsi="Times New Roman" w:hint="eastAsia"/>
          <w:color w:val="000000"/>
          <w:sz w:val="24"/>
          <w:szCs w:val="24"/>
        </w:rPr>
        <w:t>155406</w:t>
      </w:r>
      <w:r w:rsidRPr="00E270C4">
        <w:rPr>
          <w:rFonts w:ascii="Times New Roman" w:hAnsi="Times New Roman" w:hint="eastAsia"/>
          <w:color w:val="000000"/>
          <w:sz w:val="24"/>
          <w:szCs w:val="24"/>
        </w:rPr>
        <w:t>）及“</w:t>
      </w:r>
      <w:r w:rsidR="00711F72" w:rsidRPr="00E270C4">
        <w:rPr>
          <w:rFonts w:ascii="Times New Roman" w:hAnsi="Times New Roman" w:hint="eastAsia"/>
          <w:color w:val="000000"/>
          <w:sz w:val="24"/>
          <w:szCs w:val="24"/>
        </w:rPr>
        <w:t>1</w:t>
      </w:r>
      <w:r w:rsidR="00711F72">
        <w:rPr>
          <w:rFonts w:ascii="Times New Roman" w:hAnsi="Times New Roman" w:hint="eastAsia"/>
          <w:color w:val="000000"/>
          <w:sz w:val="24"/>
          <w:szCs w:val="24"/>
        </w:rPr>
        <w:t>9</w:t>
      </w:r>
      <w:r w:rsidR="00711F72">
        <w:rPr>
          <w:rFonts w:ascii="Times New Roman" w:hAnsi="Times New Roman" w:hint="eastAsia"/>
          <w:color w:val="000000"/>
          <w:sz w:val="24"/>
          <w:szCs w:val="24"/>
        </w:rPr>
        <w:t>恒大</w:t>
      </w:r>
      <w:r w:rsidR="00711F72" w:rsidRPr="00E270C4">
        <w:rPr>
          <w:rFonts w:ascii="Times New Roman" w:hAnsi="Times New Roman" w:hint="eastAsia"/>
          <w:color w:val="000000"/>
          <w:sz w:val="24"/>
          <w:szCs w:val="24"/>
        </w:rPr>
        <w:t>0</w:t>
      </w:r>
      <w:r w:rsidR="00711F72">
        <w:rPr>
          <w:rFonts w:ascii="Times New Roman" w:hAnsi="Times New Roman" w:hint="eastAsia"/>
          <w:color w:val="000000"/>
          <w:sz w:val="24"/>
          <w:szCs w:val="24"/>
        </w:rPr>
        <w:t>2</w:t>
      </w:r>
      <w:r w:rsidRPr="00E270C4">
        <w:rPr>
          <w:rFonts w:ascii="Times New Roman" w:hAnsi="Times New Roman" w:hint="eastAsia"/>
          <w:color w:val="000000"/>
          <w:sz w:val="24"/>
          <w:szCs w:val="24"/>
        </w:rPr>
        <w:t>”（债券代码</w:t>
      </w:r>
      <w:r w:rsidR="00711F72">
        <w:rPr>
          <w:rFonts w:ascii="Times New Roman" w:hAnsi="Times New Roman" w:hint="eastAsia"/>
          <w:color w:val="000000"/>
          <w:sz w:val="24"/>
          <w:szCs w:val="24"/>
        </w:rPr>
        <w:t>155407</w:t>
      </w:r>
      <w:r w:rsidRPr="00E270C4">
        <w:rPr>
          <w:rFonts w:ascii="Times New Roman" w:hAnsi="Times New Roman" w:hint="eastAsia"/>
          <w:color w:val="000000"/>
          <w:sz w:val="24"/>
          <w:szCs w:val="24"/>
        </w:rPr>
        <w:t>）进行估值调整。</w:t>
      </w:r>
    </w:p>
    <w:p w:rsidR="00594F51" w:rsidRPr="00E270C4" w:rsidRDefault="00B70B01" w:rsidP="00772D6C">
      <w:pPr>
        <w:widowControl/>
        <w:spacing w:line="360" w:lineRule="auto"/>
        <w:ind w:firstLineChars="236" w:firstLine="566"/>
        <w:jc w:val="left"/>
        <w:rPr>
          <w:rFonts w:ascii="Times New Roman" w:hAnsi="Times New Roman" w:cs="Arial"/>
          <w:kern w:val="0"/>
          <w:sz w:val="24"/>
          <w:szCs w:val="24"/>
        </w:rPr>
      </w:pPr>
      <w:r w:rsidRPr="00B70B01">
        <w:rPr>
          <w:rFonts w:ascii="Times New Roman" w:hAnsi="Times New Roman" w:hint="eastAsia"/>
          <w:color w:val="000000"/>
          <w:sz w:val="24"/>
          <w:szCs w:val="24"/>
        </w:rPr>
        <w:t>本公司将对</w:t>
      </w:r>
      <w:r w:rsidR="001C1480">
        <w:rPr>
          <w:rFonts w:ascii="Times New Roman" w:hAnsi="Times New Roman" w:hint="eastAsia"/>
          <w:color w:val="000000"/>
          <w:sz w:val="24"/>
          <w:szCs w:val="24"/>
        </w:rPr>
        <w:t>以上</w:t>
      </w:r>
      <w:r w:rsidRPr="00B70B01">
        <w:rPr>
          <w:rFonts w:ascii="Times New Roman" w:hAnsi="Times New Roman" w:hint="eastAsia"/>
          <w:color w:val="000000"/>
          <w:sz w:val="24"/>
          <w:szCs w:val="24"/>
        </w:rPr>
        <w:t>债券价值进行持续</w:t>
      </w:r>
      <w:r w:rsidR="002547B6">
        <w:rPr>
          <w:rFonts w:ascii="Times New Roman" w:hAnsi="Times New Roman" w:hint="eastAsia"/>
          <w:color w:val="000000"/>
          <w:sz w:val="24"/>
          <w:szCs w:val="24"/>
        </w:rPr>
        <w:t>的</w:t>
      </w:r>
      <w:r w:rsidRPr="00B70B01">
        <w:rPr>
          <w:rFonts w:ascii="Times New Roman" w:hAnsi="Times New Roman" w:hint="eastAsia"/>
          <w:color w:val="000000"/>
          <w:sz w:val="24"/>
          <w:szCs w:val="24"/>
        </w:rPr>
        <w:t>跟踪分析</w:t>
      </w:r>
      <w:r w:rsidR="00C332C2">
        <w:rPr>
          <w:rFonts w:ascii="Times New Roman" w:hAnsi="Times New Roman" w:hint="eastAsia"/>
          <w:color w:val="000000"/>
          <w:sz w:val="24"/>
          <w:szCs w:val="24"/>
        </w:rPr>
        <w:t>，</w:t>
      </w:r>
      <w:r w:rsidR="004F579C">
        <w:rPr>
          <w:rFonts w:ascii="Times New Roman" w:hAnsi="Times New Roman" w:hint="eastAsia"/>
          <w:color w:val="000000"/>
          <w:sz w:val="24"/>
          <w:szCs w:val="24"/>
        </w:rPr>
        <w:t>后续</w:t>
      </w:r>
      <w:r w:rsidR="004F579C" w:rsidRPr="004F579C">
        <w:rPr>
          <w:rFonts w:ascii="Times New Roman" w:hAnsi="Times New Roman" w:hint="eastAsia"/>
          <w:color w:val="000000"/>
          <w:sz w:val="24"/>
          <w:szCs w:val="24"/>
        </w:rPr>
        <w:t>综合参考各项相关影响因素</w:t>
      </w:r>
      <w:r w:rsidR="00065803">
        <w:rPr>
          <w:rFonts w:ascii="Times New Roman" w:hAnsi="Times New Roman" w:hint="eastAsia"/>
          <w:color w:val="000000"/>
          <w:sz w:val="24"/>
          <w:szCs w:val="24"/>
        </w:rPr>
        <w:t>，</w:t>
      </w:r>
      <w:r w:rsidR="002547B6">
        <w:rPr>
          <w:rFonts w:ascii="Times New Roman" w:hAnsi="Times New Roman" w:hint="eastAsia"/>
          <w:color w:val="000000"/>
          <w:sz w:val="24"/>
          <w:szCs w:val="24"/>
        </w:rPr>
        <w:t>本公司将</w:t>
      </w:r>
      <w:r w:rsidR="004F579C" w:rsidRPr="004F579C">
        <w:rPr>
          <w:rFonts w:ascii="Times New Roman" w:hAnsi="Times New Roman" w:hint="eastAsia"/>
          <w:color w:val="000000"/>
          <w:sz w:val="24"/>
          <w:szCs w:val="24"/>
        </w:rPr>
        <w:t>与基金托管人</w:t>
      </w:r>
      <w:r w:rsidR="004F579C">
        <w:rPr>
          <w:rFonts w:ascii="Times New Roman" w:hAnsi="Times New Roman" w:hint="eastAsia"/>
          <w:color w:val="000000"/>
          <w:sz w:val="24"/>
          <w:szCs w:val="24"/>
        </w:rPr>
        <w:t>协商后</w:t>
      </w:r>
      <w:r w:rsidR="000F7C03">
        <w:rPr>
          <w:rFonts w:ascii="Times New Roman" w:hAnsi="Times New Roman" w:hint="eastAsia"/>
          <w:color w:val="000000"/>
          <w:sz w:val="24"/>
          <w:szCs w:val="24"/>
        </w:rPr>
        <w:t>确定</w:t>
      </w:r>
      <w:r w:rsidR="004F579C" w:rsidRPr="004F579C">
        <w:rPr>
          <w:rFonts w:ascii="Times New Roman" w:hAnsi="Times New Roman" w:hint="eastAsia"/>
          <w:color w:val="000000"/>
          <w:sz w:val="24"/>
          <w:szCs w:val="24"/>
        </w:rPr>
        <w:t>恢复</w:t>
      </w:r>
      <w:r w:rsidR="001C1480">
        <w:rPr>
          <w:rFonts w:ascii="Times New Roman" w:hAnsi="Times New Roman" w:hint="eastAsia"/>
          <w:color w:val="000000"/>
          <w:sz w:val="24"/>
          <w:szCs w:val="24"/>
        </w:rPr>
        <w:t>以上债券按基金合同</w:t>
      </w:r>
      <w:r w:rsidR="00065803">
        <w:rPr>
          <w:rFonts w:ascii="Times New Roman" w:hAnsi="Times New Roman" w:hint="eastAsia"/>
          <w:color w:val="000000"/>
          <w:sz w:val="24"/>
          <w:szCs w:val="24"/>
        </w:rPr>
        <w:t>中</w:t>
      </w:r>
      <w:r w:rsidR="001C1480">
        <w:rPr>
          <w:rFonts w:ascii="Times New Roman" w:hAnsi="Times New Roman" w:hint="eastAsia"/>
          <w:color w:val="000000"/>
          <w:sz w:val="24"/>
          <w:szCs w:val="24"/>
        </w:rPr>
        <w:t>约定的</w:t>
      </w:r>
      <w:r w:rsidR="004F579C">
        <w:rPr>
          <w:rFonts w:ascii="Times New Roman" w:hAnsi="Times New Roman" w:hint="eastAsia"/>
          <w:color w:val="000000"/>
          <w:sz w:val="24"/>
          <w:szCs w:val="24"/>
        </w:rPr>
        <w:t>原估值方法</w:t>
      </w:r>
      <w:r w:rsidR="00065803">
        <w:rPr>
          <w:rFonts w:ascii="Times New Roman" w:hAnsi="Times New Roman" w:hint="eastAsia"/>
          <w:color w:val="000000"/>
          <w:sz w:val="24"/>
          <w:szCs w:val="24"/>
        </w:rPr>
        <w:t>进行</w:t>
      </w:r>
      <w:r w:rsidR="004F579C" w:rsidRPr="004F579C">
        <w:rPr>
          <w:rFonts w:ascii="Times New Roman" w:hAnsi="Times New Roman" w:hint="eastAsia"/>
          <w:color w:val="000000"/>
          <w:sz w:val="24"/>
          <w:szCs w:val="24"/>
        </w:rPr>
        <w:t>估值</w:t>
      </w:r>
      <w:r w:rsidR="00C332C2">
        <w:rPr>
          <w:rFonts w:ascii="Times New Roman" w:hAnsi="Times New Roman" w:hint="eastAsia"/>
          <w:color w:val="000000"/>
          <w:sz w:val="24"/>
          <w:szCs w:val="24"/>
        </w:rPr>
        <w:t>，</w:t>
      </w:r>
      <w:r w:rsidR="00065803">
        <w:rPr>
          <w:rFonts w:ascii="Times New Roman" w:hAnsi="Times New Roman" w:hint="eastAsia"/>
          <w:color w:val="000000"/>
          <w:sz w:val="24"/>
          <w:szCs w:val="24"/>
        </w:rPr>
        <w:t>届时</w:t>
      </w:r>
      <w:r w:rsidR="004F579C" w:rsidRPr="004F579C">
        <w:rPr>
          <w:rFonts w:ascii="Times New Roman" w:hAnsi="Times New Roman" w:hint="eastAsia"/>
          <w:color w:val="000000"/>
          <w:sz w:val="24"/>
          <w:szCs w:val="24"/>
        </w:rPr>
        <w:t>不再另行公告。</w:t>
      </w:r>
    </w:p>
    <w:p w:rsidR="00E270C4" w:rsidRPr="00E270C4" w:rsidRDefault="009944B9" w:rsidP="00F510C9">
      <w:pPr>
        <w:spacing w:line="360" w:lineRule="auto"/>
        <w:ind w:firstLineChars="200" w:firstLine="480"/>
        <w:rPr>
          <w:rFonts w:ascii="Times New Roman" w:hAnsi="Times New Roman" w:cs="Arial"/>
          <w:kern w:val="0"/>
          <w:sz w:val="24"/>
          <w:szCs w:val="24"/>
        </w:rPr>
      </w:pPr>
      <w:r w:rsidRPr="00E270C4">
        <w:rPr>
          <w:rFonts w:ascii="Times New Roman" w:hAnsi="Times New Roman" w:cs="Arial"/>
          <w:kern w:val="0"/>
          <w:sz w:val="24"/>
          <w:szCs w:val="24"/>
        </w:rPr>
        <w:t> </w:t>
      </w:r>
      <w:r w:rsidRPr="00E270C4">
        <w:rPr>
          <w:rFonts w:ascii="Times New Roman" w:hAnsi="Times New Roman" w:cs="Arial"/>
          <w:kern w:val="0"/>
          <w:sz w:val="24"/>
          <w:szCs w:val="24"/>
        </w:rPr>
        <w:t>投资者可登陆我公司网站（</w:t>
      </w:r>
      <w:hyperlink r:id="rId6" w:history="1">
        <w:r w:rsidRPr="00E270C4">
          <w:rPr>
            <w:rFonts w:ascii="Times New Roman" w:hAnsi="Times New Roman" w:cs="Arial"/>
            <w:kern w:val="0"/>
            <w:sz w:val="24"/>
            <w:szCs w:val="24"/>
          </w:rPr>
          <w:t>http://www</w:t>
        </w:r>
      </w:hyperlink>
      <w:r w:rsidR="004D6C09" w:rsidRPr="00E270C4">
        <w:rPr>
          <w:rFonts w:ascii="Times New Roman" w:hAnsi="Times New Roman" w:cs="Arial"/>
          <w:kern w:val="0"/>
          <w:sz w:val="24"/>
          <w:szCs w:val="24"/>
        </w:rPr>
        <w:t>. msjyfund</w:t>
      </w:r>
      <w:r w:rsidRPr="00E270C4">
        <w:rPr>
          <w:rFonts w:ascii="Times New Roman" w:hAnsi="Times New Roman" w:cs="Arial"/>
          <w:kern w:val="0"/>
          <w:sz w:val="24"/>
          <w:szCs w:val="24"/>
        </w:rPr>
        <w:t>.com.cn</w:t>
      </w:r>
      <w:r w:rsidRPr="00E270C4">
        <w:rPr>
          <w:rFonts w:ascii="Times New Roman" w:hAnsi="Times New Roman" w:cs="Arial"/>
          <w:kern w:val="0"/>
          <w:sz w:val="24"/>
          <w:szCs w:val="24"/>
        </w:rPr>
        <w:t>）或拨打客户服务电话</w:t>
      </w:r>
      <w:r w:rsidRPr="00E270C4">
        <w:rPr>
          <w:rFonts w:ascii="Times New Roman" w:hAnsi="Times New Roman" w:cs="Arial"/>
          <w:kern w:val="0"/>
          <w:sz w:val="24"/>
          <w:szCs w:val="24"/>
        </w:rPr>
        <w:t>400-</w:t>
      </w:r>
      <w:r w:rsidR="004D6C09" w:rsidRPr="00E270C4">
        <w:rPr>
          <w:rFonts w:ascii="Times New Roman" w:hAnsi="Times New Roman" w:cs="Arial"/>
          <w:kern w:val="0"/>
          <w:sz w:val="24"/>
          <w:szCs w:val="24"/>
        </w:rPr>
        <w:t>88</w:t>
      </w:r>
      <w:r w:rsidRPr="00E270C4">
        <w:rPr>
          <w:rFonts w:ascii="Times New Roman" w:hAnsi="Times New Roman" w:cs="Arial"/>
          <w:kern w:val="0"/>
          <w:sz w:val="24"/>
          <w:szCs w:val="24"/>
        </w:rPr>
        <w:t>88-</w:t>
      </w:r>
      <w:r w:rsidR="004D6C09" w:rsidRPr="00E270C4">
        <w:rPr>
          <w:rFonts w:ascii="Times New Roman" w:hAnsi="Times New Roman" w:cs="Arial"/>
          <w:kern w:val="0"/>
          <w:sz w:val="24"/>
          <w:szCs w:val="24"/>
        </w:rPr>
        <w:t>388</w:t>
      </w:r>
      <w:r w:rsidRPr="00E270C4">
        <w:rPr>
          <w:rFonts w:ascii="Times New Roman" w:hAnsi="Times New Roman" w:cs="Arial"/>
          <w:kern w:val="0"/>
          <w:sz w:val="24"/>
          <w:szCs w:val="24"/>
        </w:rPr>
        <w:t>咨询或查阅相关信息。</w:t>
      </w:r>
    </w:p>
    <w:p w:rsidR="00804C0C" w:rsidRDefault="00F510C9" w:rsidP="00F510C9">
      <w:pPr>
        <w:spacing w:line="360" w:lineRule="auto"/>
        <w:ind w:firstLineChars="200" w:firstLine="480"/>
        <w:rPr>
          <w:rFonts w:ascii="Times New Roman" w:hAnsi="Times New Roman" w:cs="Arial" w:hint="eastAsia"/>
          <w:sz w:val="24"/>
          <w:szCs w:val="24"/>
        </w:rPr>
      </w:pPr>
      <w:r w:rsidRPr="00E270C4">
        <w:rPr>
          <w:rFonts w:ascii="Times New Roman" w:hAnsi="Times New Roman" w:cs="Arial" w:hint="eastAsia"/>
          <w:sz w:val="24"/>
          <w:szCs w:val="24"/>
        </w:rPr>
        <w:t>风险提示：</w:t>
      </w:r>
    </w:p>
    <w:p w:rsidR="00804C0C" w:rsidRPr="00804C0C" w:rsidRDefault="00804C0C" w:rsidP="00B6695A">
      <w:pPr>
        <w:spacing w:line="360" w:lineRule="auto"/>
        <w:ind w:firstLineChars="200" w:firstLine="482"/>
        <w:rPr>
          <w:rFonts w:ascii="Times New Roman" w:hAnsi="Times New Roman" w:cs="Arial" w:hint="eastAsia"/>
          <w:b/>
          <w:kern w:val="0"/>
          <w:sz w:val="24"/>
          <w:szCs w:val="24"/>
        </w:rPr>
      </w:pPr>
      <w:r w:rsidRPr="00804C0C">
        <w:rPr>
          <w:rFonts w:ascii="Times New Roman" w:hAnsi="Times New Roman" w:cs="Arial" w:hint="eastAsia"/>
          <w:b/>
          <w:kern w:val="0"/>
          <w:sz w:val="24"/>
          <w:szCs w:val="24"/>
        </w:rPr>
        <w:t>基金管理人承诺以诚实信用、勤勉尽责的原则管理和运用基金资产，但不保证基金一定盈利，也不保证最低收益。基金的过往业绩及其净值高低并不预示其未来业绩表现，基金管理人管理的其他基金的业绩也不构成对本基金业绩表现的保证。投资者投资于各基金前应认真阅读各基金的基金合同和招募说明书等资料，了解所投资基金的风险收益特征，并根据自身情况购买与本人风险承受能力相匹配的产品。敬请投资者注意投资风险。</w:t>
      </w:r>
    </w:p>
    <w:p w:rsidR="009944B9" w:rsidRPr="00E270C4" w:rsidRDefault="009944B9" w:rsidP="00AA1F39">
      <w:pPr>
        <w:widowControl/>
        <w:spacing w:line="360" w:lineRule="auto"/>
        <w:ind w:firstLineChars="236" w:firstLine="566"/>
        <w:jc w:val="left"/>
        <w:rPr>
          <w:rFonts w:ascii="Times New Roman" w:hAnsi="Times New Roman" w:cs="Arial" w:hint="eastAsia"/>
          <w:kern w:val="0"/>
          <w:sz w:val="24"/>
          <w:szCs w:val="24"/>
        </w:rPr>
      </w:pPr>
      <w:r w:rsidRPr="00E270C4">
        <w:rPr>
          <w:rFonts w:ascii="Times New Roman" w:hAnsi="Times New Roman" w:cs="Arial"/>
          <w:kern w:val="0"/>
          <w:sz w:val="24"/>
          <w:szCs w:val="24"/>
        </w:rPr>
        <w:t>特此公告</w:t>
      </w:r>
      <w:r w:rsidR="00AA1F39" w:rsidRPr="00E270C4">
        <w:rPr>
          <w:rFonts w:ascii="Times New Roman" w:hAnsi="Times New Roman" w:cs="Arial" w:hint="eastAsia"/>
          <w:kern w:val="0"/>
          <w:sz w:val="24"/>
          <w:szCs w:val="24"/>
        </w:rPr>
        <w:t>。</w:t>
      </w:r>
    </w:p>
    <w:p w:rsidR="00DA2520" w:rsidRPr="00E270C4" w:rsidRDefault="00DA2520" w:rsidP="00AA1F39">
      <w:pPr>
        <w:widowControl/>
        <w:spacing w:line="360" w:lineRule="auto"/>
        <w:ind w:firstLineChars="236" w:firstLine="566"/>
        <w:jc w:val="left"/>
        <w:rPr>
          <w:rFonts w:ascii="Times New Roman" w:hAnsi="Times New Roman" w:cs="Arial" w:hint="eastAsia"/>
          <w:kern w:val="0"/>
          <w:sz w:val="24"/>
          <w:szCs w:val="24"/>
        </w:rPr>
      </w:pPr>
    </w:p>
    <w:p w:rsidR="009944B9" w:rsidRPr="00E270C4" w:rsidRDefault="009944B9" w:rsidP="009944B9">
      <w:pPr>
        <w:widowControl/>
        <w:jc w:val="left"/>
        <w:rPr>
          <w:rFonts w:ascii="Times New Roman" w:hAnsi="Times New Roman" w:cs="Arial"/>
          <w:kern w:val="0"/>
          <w:sz w:val="24"/>
          <w:szCs w:val="24"/>
        </w:rPr>
      </w:pPr>
    </w:p>
    <w:p w:rsidR="009944B9" w:rsidRPr="00E270C4" w:rsidRDefault="009944B9" w:rsidP="009944B9">
      <w:pPr>
        <w:widowControl/>
        <w:jc w:val="right"/>
        <w:rPr>
          <w:rFonts w:ascii="Times New Roman" w:hAnsi="Times New Roman" w:cs="Arial"/>
          <w:kern w:val="0"/>
          <w:sz w:val="24"/>
          <w:szCs w:val="24"/>
        </w:rPr>
      </w:pPr>
      <w:r w:rsidRPr="00E270C4">
        <w:rPr>
          <w:rFonts w:ascii="Times New Roman" w:hAnsi="Times New Roman" w:cs="Arial"/>
          <w:kern w:val="0"/>
          <w:sz w:val="24"/>
          <w:szCs w:val="24"/>
        </w:rPr>
        <w:t>民生加银基金管理有限公司</w:t>
      </w:r>
    </w:p>
    <w:p w:rsidR="009944B9" w:rsidRPr="00E270C4" w:rsidRDefault="009944B9" w:rsidP="009944B9">
      <w:pPr>
        <w:widowControl/>
        <w:jc w:val="right"/>
        <w:rPr>
          <w:rFonts w:ascii="Times New Roman" w:hAnsi="Times New Roman" w:cs="Arial"/>
          <w:kern w:val="0"/>
          <w:sz w:val="24"/>
          <w:szCs w:val="24"/>
        </w:rPr>
      </w:pPr>
    </w:p>
    <w:p w:rsidR="00ED37FD" w:rsidRPr="00E270C4" w:rsidRDefault="0080412F" w:rsidP="000F7147">
      <w:pPr>
        <w:widowControl/>
        <w:jc w:val="right"/>
        <w:rPr>
          <w:rFonts w:ascii="Times New Roman" w:hAnsi="Times New Roman" w:cs="Arial"/>
          <w:kern w:val="0"/>
          <w:sz w:val="24"/>
          <w:szCs w:val="24"/>
        </w:rPr>
      </w:pPr>
      <w:r w:rsidRPr="00E270C4">
        <w:rPr>
          <w:rFonts w:ascii="Times New Roman" w:hAnsi="Times New Roman" w:cs="Arial"/>
          <w:kern w:val="0"/>
          <w:sz w:val="24"/>
          <w:szCs w:val="24"/>
        </w:rPr>
        <w:t>20</w:t>
      </w:r>
      <w:r w:rsidR="00804C0C">
        <w:rPr>
          <w:rFonts w:ascii="Times New Roman" w:hAnsi="Times New Roman" w:cs="Arial" w:hint="eastAsia"/>
          <w:kern w:val="0"/>
          <w:sz w:val="24"/>
          <w:szCs w:val="24"/>
        </w:rPr>
        <w:t>20</w:t>
      </w:r>
      <w:r w:rsidR="009944B9" w:rsidRPr="00E270C4">
        <w:rPr>
          <w:rFonts w:ascii="Times New Roman" w:hAnsi="Times New Roman" w:cs="Arial"/>
          <w:kern w:val="0"/>
          <w:sz w:val="24"/>
          <w:szCs w:val="24"/>
        </w:rPr>
        <w:t>年</w:t>
      </w:r>
      <w:r w:rsidR="00605840">
        <w:rPr>
          <w:rFonts w:ascii="Times New Roman" w:hAnsi="Times New Roman" w:cs="Arial" w:hint="eastAsia"/>
          <w:kern w:val="0"/>
          <w:sz w:val="24"/>
          <w:szCs w:val="24"/>
        </w:rPr>
        <w:t>9</w:t>
      </w:r>
      <w:r w:rsidR="009944B9" w:rsidRPr="00E270C4">
        <w:rPr>
          <w:rFonts w:ascii="Times New Roman" w:hAnsi="Times New Roman" w:cs="Arial"/>
          <w:kern w:val="0"/>
          <w:sz w:val="24"/>
          <w:szCs w:val="24"/>
        </w:rPr>
        <w:t>月</w:t>
      </w:r>
      <w:r w:rsidR="00605840">
        <w:rPr>
          <w:rFonts w:ascii="Times New Roman" w:hAnsi="Times New Roman" w:cs="Arial" w:hint="eastAsia"/>
          <w:kern w:val="0"/>
          <w:sz w:val="24"/>
          <w:szCs w:val="24"/>
        </w:rPr>
        <w:t>26</w:t>
      </w:r>
      <w:r w:rsidR="009944B9" w:rsidRPr="00E270C4">
        <w:rPr>
          <w:rFonts w:ascii="Times New Roman" w:hAnsi="Times New Roman" w:cs="Arial"/>
          <w:kern w:val="0"/>
          <w:sz w:val="24"/>
          <w:szCs w:val="24"/>
        </w:rPr>
        <w:t>日</w:t>
      </w:r>
    </w:p>
    <w:sectPr w:rsidR="00ED37FD" w:rsidRPr="00E270C4" w:rsidSect="00AE40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EE9" w:rsidRDefault="00000EE9" w:rsidP="009944B9">
      <w:r>
        <w:separator/>
      </w:r>
    </w:p>
  </w:endnote>
  <w:endnote w:type="continuationSeparator" w:id="0">
    <w:p w:rsidR="00000EE9" w:rsidRDefault="00000EE9" w:rsidP="009944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EE9" w:rsidRDefault="00000EE9" w:rsidP="009944B9">
      <w:r>
        <w:separator/>
      </w:r>
    </w:p>
  </w:footnote>
  <w:footnote w:type="continuationSeparator" w:id="0">
    <w:p w:rsidR="00000EE9" w:rsidRDefault="00000EE9" w:rsidP="009944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44B9"/>
    <w:rsid w:val="00000EE9"/>
    <w:rsid w:val="00011951"/>
    <w:rsid w:val="00015B5E"/>
    <w:rsid w:val="00020029"/>
    <w:rsid w:val="00032445"/>
    <w:rsid w:val="00032B71"/>
    <w:rsid w:val="00032FB7"/>
    <w:rsid w:val="00064661"/>
    <w:rsid w:val="0006556E"/>
    <w:rsid w:val="00065803"/>
    <w:rsid w:val="00074804"/>
    <w:rsid w:val="00083C7D"/>
    <w:rsid w:val="00084F32"/>
    <w:rsid w:val="00087373"/>
    <w:rsid w:val="00090B0D"/>
    <w:rsid w:val="000920EC"/>
    <w:rsid w:val="00096F0B"/>
    <w:rsid w:val="000A0F74"/>
    <w:rsid w:val="000A4991"/>
    <w:rsid w:val="000B07FB"/>
    <w:rsid w:val="000B10DC"/>
    <w:rsid w:val="000C2629"/>
    <w:rsid w:val="000C6A31"/>
    <w:rsid w:val="000D261D"/>
    <w:rsid w:val="000D481F"/>
    <w:rsid w:val="000F0772"/>
    <w:rsid w:val="000F68AF"/>
    <w:rsid w:val="000F7147"/>
    <w:rsid w:val="000F7C03"/>
    <w:rsid w:val="0010407E"/>
    <w:rsid w:val="00110531"/>
    <w:rsid w:val="0011214D"/>
    <w:rsid w:val="00126501"/>
    <w:rsid w:val="001333CD"/>
    <w:rsid w:val="00136543"/>
    <w:rsid w:val="00137499"/>
    <w:rsid w:val="0014191A"/>
    <w:rsid w:val="00145810"/>
    <w:rsid w:val="00150C14"/>
    <w:rsid w:val="0015208F"/>
    <w:rsid w:val="00153CF3"/>
    <w:rsid w:val="00177529"/>
    <w:rsid w:val="00183E52"/>
    <w:rsid w:val="00184F47"/>
    <w:rsid w:val="001862A0"/>
    <w:rsid w:val="001A4384"/>
    <w:rsid w:val="001A5839"/>
    <w:rsid w:val="001A5BE6"/>
    <w:rsid w:val="001B42AF"/>
    <w:rsid w:val="001B6021"/>
    <w:rsid w:val="001C1480"/>
    <w:rsid w:val="001D08B6"/>
    <w:rsid w:val="001D4EC5"/>
    <w:rsid w:val="001D71E5"/>
    <w:rsid w:val="001F6B96"/>
    <w:rsid w:val="00201215"/>
    <w:rsid w:val="00204BF3"/>
    <w:rsid w:val="0021279A"/>
    <w:rsid w:val="00212E59"/>
    <w:rsid w:val="002329E7"/>
    <w:rsid w:val="00233A20"/>
    <w:rsid w:val="0023694F"/>
    <w:rsid w:val="00243992"/>
    <w:rsid w:val="002479E5"/>
    <w:rsid w:val="002508CB"/>
    <w:rsid w:val="00250BEA"/>
    <w:rsid w:val="002547B6"/>
    <w:rsid w:val="00255533"/>
    <w:rsid w:val="00266520"/>
    <w:rsid w:val="00290455"/>
    <w:rsid w:val="002B7F1C"/>
    <w:rsid w:val="002D27CD"/>
    <w:rsid w:val="002E710E"/>
    <w:rsid w:val="002F3287"/>
    <w:rsid w:val="002F5224"/>
    <w:rsid w:val="002F799F"/>
    <w:rsid w:val="00301F35"/>
    <w:rsid w:val="0030300C"/>
    <w:rsid w:val="00311976"/>
    <w:rsid w:val="00313729"/>
    <w:rsid w:val="00316981"/>
    <w:rsid w:val="003219BD"/>
    <w:rsid w:val="003253B3"/>
    <w:rsid w:val="003369EC"/>
    <w:rsid w:val="003447E5"/>
    <w:rsid w:val="00344D57"/>
    <w:rsid w:val="00346817"/>
    <w:rsid w:val="00360000"/>
    <w:rsid w:val="00362587"/>
    <w:rsid w:val="00366E71"/>
    <w:rsid w:val="00367CF5"/>
    <w:rsid w:val="00371358"/>
    <w:rsid w:val="00373B61"/>
    <w:rsid w:val="00375554"/>
    <w:rsid w:val="0038664C"/>
    <w:rsid w:val="00393F69"/>
    <w:rsid w:val="00395467"/>
    <w:rsid w:val="003A3F69"/>
    <w:rsid w:val="003B2A02"/>
    <w:rsid w:val="003B73DE"/>
    <w:rsid w:val="003C51B8"/>
    <w:rsid w:val="003D38D4"/>
    <w:rsid w:val="003E4516"/>
    <w:rsid w:val="003F41F9"/>
    <w:rsid w:val="003F4EE2"/>
    <w:rsid w:val="00401AB6"/>
    <w:rsid w:val="004104CC"/>
    <w:rsid w:val="00411782"/>
    <w:rsid w:val="00413E50"/>
    <w:rsid w:val="0041688F"/>
    <w:rsid w:val="00416F31"/>
    <w:rsid w:val="00442C3E"/>
    <w:rsid w:val="00442EA7"/>
    <w:rsid w:val="00445015"/>
    <w:rsid w:val="00470B2C"/>
    <w:rsid w:val="00473667"/>
    <w:rsid w:val="00481DCF"/>
    <w:rsid w:val="0048291D"/>
    <w:rsid w:val="00483B16"/>
    <w:rsid w:val="00483B70"/>
    <w:rsid w:val="0048449D"/>
    <w:rsid w:val="0049195E"/>
    <w:rsid w:val="004A4FCC"/>
    <w:rsid w:val="004A6353"/>
    <w:rsid w:val="004C2067"/>
    <w:rsid w:val="004C3D5E"/>
    <w:rsid w:val="004C5768"/>
    <w:rsid w:val="004C6D18"/>
    <w:rsid w:val="004C72E5"/>
    <w:rsid w:val="004C77D1"/>
    <w:rsid w:val="004D1F39"/>
    <w:rsid w:val="004D6C09"/>
    <w:rsid w:val="004E105A"/>
    <w:rsid w:val="004E424C"/>
    <w:rsid w:val="004F579C"/>
    <w:rsid w:val="004F78C2"/>
    <w:rsid w:val="004F7C7D"/>
    <w:rsid w:val="005130DA"/>
    <w:rsid w:val="005145F4"/>
    <w:rsid w:val="00522137"/>
    <w:rsid w:val="005279E5"/>
    <w:rsid w:val="00533093"/>
    <w:rsid w:val="00537037"/>
    <w:rsid w:val="005370C7"/>
    <w:rsid w:val="0053730D"/>
    <w:rsid w:val="00540A18"/>
    <w:rsid w:val="0055281A"/>
    <w:rsid w:val="00572421"/>
    <w:rsid w:val="00576EA9"/>
    <w:rsid w:val="00584FC4"/>
    <w:rsid w:val="0059063B"/>
    <w:rsid w:val="00594F51"/>
    <w:rsid w:val="005A596C"/>
    <w:rsid w:val="005B114E"/>
    <w:rsid w:val="005B7F5E"/>
    <w:rsid w:val="005C083A"/>
    <w:rsid w:val="005C1A69"/>
    <w:rsid w:val="005C395D"/>
    <w:rsid w:val="005D1888"/>
    <w:rsid w:val="005D5A17"/>
    <w:rsid w:val="005D5BF8"/>
    <w:rsid w:val="005D699D"/>
    <w:rsid w:val="005D799E"/>
    <w:rsid w:val="005E34A2"/>
    <w:rsid w:val="005F143C"/>
    <w:rsid w:val="00605840"/>
    <w:rsid w:val="00621C69"/>
    <w:rsid w:val="00627026"/>
    <w:rsid w:val="00634516"/>
    <w:rsid w:val="00637EA5"/>
    <w:rsid w:val="00637F20"/>
    <w:rsid w:val="00654DF7"/>
    <w:rsid w:val="00657145"/>
    <w:rsid w:val="00675B40"/>
    <w:rsid w:val="00677316"/>
    <w:rsid w:val="0068599A"/>
    <w:rsid w:val="00693E8E"/>
    <w:rsid w:val="006B1F7C"/>
    <w:rsid w:val="006B2E33"/>
    <w:rsid w:val="006D0627"/>
    <w:rsid w:val="006D1256"/>
    <w:rsid w:val="006F45D7"/>
    <w:rsid w:val="006F6C19"/>
    <w:rsid w:val="00710A32"/>
    <w:rsid w:val="00711653"/>
    <w:rsid w:val="00711F72"/>
    <w:rsid w:val="00712473"/>
    <w:rsid w:val="007461B3"/>
    <w:rsid w:val="00750AC0"/>
    <w:rsid w:val="00757800"/>
    <w:rsid w:val="00766FD6"/>
    <w:rsid w:val="0076723D"/>
    <w:rsid w:val="00772D6C"/>
    <w:rsid w:val="0077709C"/>
    <w:rsid w:val="007839D1"/>
    <w:rsid w:val="007865CC"/>
    <w:rsid w:val="0078726E"/>
    <w:rsid w:val="00794089"/>
    <w:rsid w:val="007A2081"/>
    <w:rsid w:val="007A5D7A"/>
    <w:rsid w:val="007A5D98"/>
    <w:rsid w:val="007A703D"/>
    <w:rsid w:val="007B501E"/>
    <w:rsid w:val="007C3EEE"/>
    <w:rsid w:val="007C5BCD"/>
    <w:rsid w:val="007D2FDE"/>
    <w:rsid w:val="007D7BB4"/>
    <w:rsid w:val="007F0703"/>
    <w:rsid w:val="007F2F56"/>
    <w:rsid w:val="007F424D"/>
    <w:rsid w:val="007F506E"/>
    <w:rsid w:val="0080412F"/>
    <w:rsid w:val="00804C0C"/>
    <w:rsid w:val="00806169"/>
    <w:rsid w:val="00811410"/>
    <w:rsid w:val="00813A36"/>
    <w:rsid w:val="00817339"/>
    <w:rsid w:val="008250A4"/>
    <w:rsid w:val="00825B54"/>
    <w:rsid w:val="00830908"/>
    <w:rsid w:val="00833B42"/>
    <w:rsid w:val="00833D23"/>
    <w:rsid w:val="00837CB5"/>
    <w:rsid w:val="00837EFB"/>
    <w:rsid w:val="0084221A"/>
    <w:rsid w:val="0087184B"/>
    <w:rsid w:val="0087399C"/>
    <w:rsid w:val="00877016"/>
    <w:rsid w:val="00883696"/>
    <w:rsid w:val="008A0F3B"/>
    <w:rsid w:val="008A111A"/>
    <w:rsid w:val="008A2BAB"/>
    <w:rsid w:val="008A57E0"/>
    <w:rsid w:val="008B132F"/>
    <w:rsid w:val="008B67E9"/>
    <w:rsid w:val="008B793C"/>
    <w:rsid w:val="008C6171"/>
    <w:rsid w:val="008C6F2D"/>
    <w:rsid w:val="008C738E"/>
    <w:rsid w:val="008D3DC5"/>
    <w:rsid w:val="008D65CE"/>
    <w:rsid w:val="008D686D"/>
    <w:rsid w:val="008E2695"/>
    <w:rsid w:val="008E47AC"/>
    <w:rsid w:val="008F17B7"/>
    <w:rsid w:val="008F208E"/>
    <w:rsid w:val="009262E9"/>
    <w:rsid w:val="00933C67"/>
    <w:rsid w:val="0093491C"/>
    <w:rsid w:val="0094360D"/>
    <w:rsid w:val="00943872"/>
    <w:rsid w:val="00951107"/>
    <w:rsid w:val="009548ED"/>
    <w:rsid w:val="00955756"/>
    <w:rsid w:val="00967202"/>
    <w:rsid w:val="009734E7"/>
    <w:rsid w:val="009865CE"/>
    <w:rsid w:val="00986916"/>
    <w:rsid w:val="009944B9"/>
    <w:rsid w:val="009A09C7"/>
    <w:rsid w:val="009E6D37"/>
    <w:rsid w:val="009F110D"/>
    <w:rsid w:val="009F44EF"/>
    <w:rsid w:val="009F54CA"/>
    <w:rsid w:val="009F77E1"/>
    <w:rsid w:val="00A0241D"/>
    <w:rsid w:val="00A1204B"/>
    <w:rsid w:val="00A21B10"/>
    <w:rsid w:val="00A24AD9"/>
    <w:rsid w:val="00A31819"/>
    <w:rsid w:val="00A463CD"/>
    <w:rsid w:val="00A60683"/>
    <w:rsid w:val="00A82CFE"/>
    <w:rsid w:val="00A90F46"/>
    <w:rsid w:val="00AA1F39"/>
    <w:rsid w:val="00AA26E7"/>
    <w:rsid w:val="00AA482A"/>
    <w:rsid w:val="00AB6A85"/>
    <w:rsid w:val="00AC31E7"/>
    <w:rsid w:val="00AC6214"/>
    <w:rsid w:val="00AD2090"/>
    <w:rsid w:val="00AD2971"/>
    <w:rsid w:val="00AD38C9"/>
    <w:rsid w:val="00AE031F"/>
    <w:rsid w:val="00AE2162"/>
    <w:rsid w:val="00AE4077"/>
    <w:rsid w:val="00AF0D2D"/>
    <w:rsid w:val="00AF4889"/>
    <w:rsid w:val="00B046DC"/>
    <w:rsid w:val="00B078BF"/>
    <w:rsid w:val="00B108A9"/>
    <w:rsid w:val="00B10AD6"/>
    <w:rsid w:val="00B16167"/>
    <w:rsid w:val="00B17459"/>
    <w:rsid w:val="00B213DB"/>
    <w:rsid w:val="00B23E4B"/>
    <w:rsid w:val="00B37320"/>
    <w:rsid w:val="00B41B74"/>
    <w:rsid w:val="00B548DE"/>
    <w:rsid w:val="00B57500"/>
    <w:rsid w:val="00B61173"/>
    <w:rsid w:val="00B61539"/>
    <w:rsid w:val="00B6695A"/>
    <w:rsid w:val="00B70B01"/>
    <w:rsid w:val="00B76C2C"/>
    <w:rsid w:val="00B778D7"/>
    <w:rsid w:val="00B93B57"/>
    <w:rsid w:val="00BB1BA2"/>
    <w:rsid w:val="00BB2AC7"/>
    <w:rsid w:val="00BB39F3"/>
    <w:rsid w:val="00BC157E"/>
    <w:rsid w:val="00BC6AD5"/>
    <w:rsid w:val="00BC78EE"/>
    <w:rsid w:val="00BD34FF"/>
    <w:rsid w:val="00BF0A22"/>
    <w:rsid w:val="00BF2DE2"/>
    <w:rsid w:val="00BF4D2D"/>
    <w:rsid w:val="00C02210"/>
    <w:rsid w:val="00C04CE6"/>
    <w:rsid w:val="00C05693"/>
    <w:rsid w:val="00C11736"/>
    <w:rsid w:val="00C2105A"/>
    <w:rsid w:val="00C22295"/>
    <w:rsid w:val="00C25330"/>
    <w:rsid w:val="00C25992"/>
    <w:rsid w:val="00C31CDA"/>
    <w:rsid w:val="00C332C2"/>
    <w:rsid w:val="00C40207"/>
    <w:rsid w:val="00C52AD4"/>
    <w:rsid w:val="00C54DB8"/>
    <w:rsid w:val="00C6183B"/>
    <w:rsid w:val="00C82027"/>
    <w:rsid w:val="00C827CB"/>
    <w:rsid w:val="00C85352"/>
    <w:rsid w:val="00C90FAD"/>
    <w:rsid w:val="00CA5272"/>
    <w:rsid w:val="00CA534A"/>
    <w:rsid w:val="00CA5662"/>
    <w:rsid w:val="00CA681B"/>
    <w:rsid w:val="00CA6D23"/>
    <w:rsid w:val="00CD06EB"/>
    <w:rsid w:val="00CD29AC"/>
    <w:rsid w:val="00CD3537"/>
    <w:rsid w:val="00CD39B4"/>
    <w:rsid w:val="00CD5E40"/>
    <w:rsid w:val="00CE4A12"/>
    <w:rsid w:val="00CE5761"/>
    <w:rsid w:val="00D049E6"/>
    <w:rsid w:val="00D11B36"/>
    <w:rsid w:val="00D12B42"/>
    <w:rsid w:val="00D34968"/>
    <w:rsid w:val="00D34A30"/>
    <w:rsid w:val="00D55389"/>
    <w:rsid w:val="00D5740C"/>
    <w:rsid w:val="00D712A2"/>
    <w:rsid w:val="00D7180C"/>
    <w:rsid w:val="00D74D4D"/>
    <w:rsid w:val="00D76864"/>
    <w:rsid w:val="00D77C25"/>
    <w:rsid w:val="00D87E1F"/>
    <w:rsid w:val="00DA2520"/>
    <w:rsid w:val="00DB7AC0"/>
    <w:rsid w:val="00DC4D32"/>
    <w:rsid w:val="00DC5138"/>
    <w:rsid w:val="00DC79EA"/>
    <w:rsid w:val="00DD32F2"/>
    <w:rsid w:val="00DD363F"/>
    <w:rsid w:val="00DE1CA5"/>
    <w:rsid w:val="00DE618D"/>
    <w:rsid w:val="00DF097A"/>
    <w:rsid w:val="00DF46F6"/>
    <w:rsid w:val="00DF7545"/>
    <w:rsid w:val="00E00F21"/>
    <w:rsid w:val="00E04BD2"/>
    <w:rsid w:val="00E11B46"/>
    <w:rsid w:val="00E15620"/>
    <w:rsid w:val="00E21257"/>
    <w:rsid w:val="00E255A2"/>
    <w:rsid w:val="00E256E8"/>
    <w:rsid w:val="00E270C4"/>
    <w:rsid w:val="00E302ED"/>
    <w:rsid w:val="00E305CA"/>
    <w:rsid w:val="00E40E61"/>
    <w:rsid w:val="00E461CA"/>
    <w:rsid w:val="00E54987"/>
    <w:rsid w:val="00E67D70"/>
    <w:rsid w:val="00E75E2D"/>
    <w:rsid w:val="00E818D9"/>
    <w:rsid w:val="00EA26BC"/>
    <w:rsid w:val="00EA48B9"/>
    <w:rsid w:val="00EC165E"/>
    <w:rsid w:val="00EC3E01"/>
    <w:rsid w:val="00ED3374"/>
    <w:rsid w:val="00ED37FD"/>
    <w:rsid w:val="00EE029A"/>
    <w:rsid w:val="00EF1EFB"/>
    <w:rsid w:val="00EF72B2"/>
    <w:rsid w:val="00F003A2"/>
    <w:rsid w:val="00F10AFD"/>
    <w:rsid w:val="00F15EF1"/>
    <w:rsid w:val="00F2011D"/>
    <w:rsid w:val="00F216A0"/>
    <w:rsid w:val="00F23108"/>
    <w:rsid w:val="00F32989"/>
    <w:rsid w:val="00F43868"/>
    <w:rsid w:val="00F46FAD"/>
    <w:rsid w:val="00F510C9"/>
    <w:rsid w:val="00F62438"/>
    <w:rsid w:val="00F778A8"/>
    <w:rsid w:val="00F86635"/>
    <w:rsid w:val="00F904F4"/>
    <w:rsid w:val="00FB0FBF"/>
    <w:rsid w:val="00FB2263"/>
    <w:rsid w:val="00FC2327"/>
    <w:rsid w:val="00FC34F8"/>
    <w:rsid w:val="00FD117D"/>
    <w:rsid w:val="00FD17C3"/>
    <w:rsid w:val="00FD66F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077"/>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44B9"/>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rsid w:val="009944B9"/>
    <w:rPr>
      <w:sz w:val="18"/>
      <w:szCs w:val="18"/>
    </w:rPr>
  </w:style>
  <w:style w:type="paragraph" w:styleId="a4">
    <w:name w:val="footer"/>
    <w:basedOn w:val="a"/>
    <w:link w:val="Char0"/>
    <w:uiPriority w:val="99"/>
    <w:unhideWhenUsed/>
    <w:rsid w:val="009944B9"/>
    <w:pPr>
      <w:tabs>
        <w:tab w:val="center" w:pos="4153"/>
        <w:tab w:val="right" w:pos="8306"/>
      </w:tabs>
      <w:snapToGrid w:val="0"/>
      <w:jc w:val="left"/>
    </w:pPr>
    <w:rPr>
      <w:kern w:val="0"/>
      <w:sz w:val="18"/>
      <w:szCs w:val="18"/>
      <w:lang/>
    </w:rPr>
  </w:style>
  <w:style w:type="character" w:customStyle="1" w:styleId="Char0">
    <w:name w:val="页脚 Char"/>
    <w:link w:val="a4"/>
    <w:uiPriority w:val="99"/>
    <w:rsid w:val="009944B9"/>
    <w:rPr>
      <w:sz w:val="18"/>
      <w:szCs w:val="18"/>
    </w:rPr>
  </w:style>
  <w:style w:type="character" w:styleId="a5">
    <w:name w:val="Hyperlink"/>
    <w:uiPriority w:val="99"/>
    <w:unhideWhenUsed/>
    <w:rsid w:val="009944B9"/>
    <w:rPr>
      <w:rFonts w:ascii="Verdana" w:hAnsi="Verdana" w:hint="default"/>
      <w:strike w:val="0"/>
      <w:dstrike w:val="0"/>
      <w:color w:val="000000"/>
      <w:sz w:val="18"/>
      <w:szCs w:val="18"/>
      <w:u w:val="none"/>
      <w:effect w:val="none"/>
    </w:rPr>
  </w:style>
  <w:style w:type="character" w:styleId="a6">
    <w:name w:val="Strong"/>
    <w:uiPriority w:val="22"/>
    <w:qFormat/>
    <w:rsid w:val="009944B9"/>
    <w:rPr>
      <w:b/>
      <w:bCs/>
    </w:rPr>
  </w:style>
  <w:style w:type="paragraph" w:styleId="a7">
    <w:name w:val="Balloon Text"/>
    <w:basedOn w:val="a"/>
    <w:link w:val="Char1"/>
    <w:uiPriority w:val="99"/>
    <w:semiHidden/>
    <w:unhideWhenUsed/>
    <w:rsid w:val="009944B9"/>
    <w:rPr>
      <w:kern w:val="0"/>
      <w:sz w:val="18"/>
      <w:szCs w:val="18"/>
      <w:lang/>
    </w:rPr>
  </w:style>
  <w:style w:type="character" w:customStyle="1" w:styleId="Char1">
    <w:name w:val="批注框文本 Char"/>
    <w:link w:val="a7"/>
    <w:uiPriority w:val="99"/>
    <w:semiHidden/>
    <w:rsid w:val="009944B9"/>
    <w:rPr>
      <w:sz w:val="18"/>
      <w:szCs w:val="18"/>
    </w:rPr>
  </w:style>
</w:styles>
</file>

<file path=word/webSettings.xml><?xml version="1.0" encoding="utf-8"?>
<w:webSettings xmlns:r="http://schemas.openxmlformats.org/officeDocument/2006/relationships" xmlns:w="http://schemas.openxmlformats.org/wordprocessingml/2006/main">
  <w:divs>
    <w:div w:id="30036614">
      <w:bodyDiv w:val="1"/>
      <w:marLeft w:val="0"/>
      <w:marRight w:val="0"/>
      <w:marTop w:val="0"/>
      <w:marBottom w:val="0"/>
      <w:divBdr>
        <w:top w:val="none" w:sz="0" w:space="0" w:color="auto"/>
        <w:left w:val="none" w:sz="0" w:space="0" w:color="auto"/>
        <w:bottom w:val="none" w:sz="0" w:space="0" w:color="auto"/>
        <w:right w:val="none" w:sz="0" w:space="0" w:color="auto"/>
      </w:divBdr>
      <w:divsChild>
        <w:div w:id="195896480">
          <w:marLeft w:val="0"/>
          <w:marRight w:val="0"/>
          <w:marTop w:val="0"/>
          <w:marBottom w:val="0"/>
          <w:divBdr>
            <w:top w:val="none" w:sz="0" w:space="0" w:color="auto"/>
            <w:left w:val="none" w:sz="0" w:space="0" w:color="auto"/>
            <w:bottom w:val="none" w:sz="0" w:space="0" w:color="auto"/>
            <w:right w:val="none" w:sz="0" w:space="0" w:color="auto"/>
          </w:divBdr>
        </w:div>
        <w:div w:id="226452153">
          <w:marLeft w:val="0"/>
          <w:marRight w:val="0"/>
          <w:marTop w:val="0"/>
          <w:marBottom w:val="0"/>
          <w:divBdr>
            <w:top w:val="none" w:sz="0" w:space="0" w:color="auto"/>
            <w:left w:val="none" w:sz="0" w:space="0" w:color="auto"/>
            <w:bottom w:val="none" w:sz="0" w:space="0" w:color="auto"/>
            <w:right w:val="none" w:sz="0" w:space="0" w:color="auto"/>
          </w:divBdr>
        </w:div>
        <w:div w:id="278033212">
          <w:marLeft w:val="0"/>
          <w:marRight w:val="0"/>
          <w:marTop w:val="0"/>
          <w:marBottom w:val="0"/>
          <w:divBdr>
            <w:top w:val="none" w:sz="0" w:space="0" w:color="auto"/>
            <w:left w:val="none" w:sz="0" w:space="0" w:color="auto"/>
            <w:bottom w:val="none" w:sz="0" w:space="0" w:color="auto"/>
            <w:right w:val="none" w:sz="0" w:space="0" w:color="auto"/>
          </w:divBdr>
        </w:div>
        <w:div w:id="1386367698">
          <w:marLeft w:val="0"/>
          <w:marRight w:val="0"/>
          <w:marTop w:val="0"/>
          <w:marBottom w:val="0"/>
          <w:divBdr>
            <w:top w:val="none" w:sz="0" w:space="0" w:color="auto"/>
            <w:left w:val="none" w:sz="0" w:space="0" w:color="auto"/>
            <w:bottom w:val="none" w:sz="0" w:space="0" w:color="auto"/>
            <w:right w:val="none" w:sz="0" w:space="0" w:color="auto"/>
          </w:divBdr>
        </w:div>
        <w:div w:id="1702122996">
          <w:marLeft w:val="0"/>
          <w:marRight w:val="0"/>
          <w:marTop w:val="0"/>
          <w:marBottom w:val="0"/>
          <w:divBdr>
            <w:top w:val="none" w:sz="0" w:space="0" w:color="auto"/>
            <w:left w:val="none" w:sz="0" w:space="0" w:color="auto"/>
            <w:bottom w:val="none" w:sz="0" w:space="0" w:color="auto"/>
            <w:right w:val="none" w:sz="0" w:space="0" w:color="auto"/>
          </w:divBdr>
        </w:div>
        <w:div w:id="1778213413">
          <w:marLeft w:val="0"/>
          <w:marRight w:val="0"/>
          <w:marTop w:val="0"/>
          <w:marBottom w:val="0"/>
          <w:divBdr>
            <w:top w:val="none" w:sz="0" w:space="0" w:color="auto"/>
            <w:left w:val="none" w:sz="0" w:space="0" w:color="auto"/>
            <w:bottom w:val="none" w:sz="0" w:space="0" w:color="auto"/>
            <w:right w:val="none" w:sz="0" w:space="0" w:color="auto"/>
          </w:divBdr>
        </w:div>
      </w:divsChild>
    </w:div>
    <w:div w:id="276183838">
      <w:bodyDiv w:val="1"/>
      <w:marLeft w:val="0"/>
      <w:marRight w:val="0"/>
      <w:marTop w:val="0"/>
      <w:marBottom w:val="0"/>
      <w:divBdr>
        <w:top w:val="none" w:sz="0" w:space="0" w:color="auto"/>
        <w:left w:val="none" w:sz="0" w:space="0" w:color="auto"/>
        <w:bottom w:val="none" w:sz="0" w:space="0" w:color="auto"/>
        <w:right w:val="none" w:sz="0" w:space="0" w:color="auto"/>
      </w:divBdr>
      <w:divsChild>
        <w:div w:id="221453222">
          <w:marLeft w:val="0"/>
          <w:marRight w:val="0"/>
          <w:marTop w:val="0"/>
          <w:marBottom w:val="0"/>
          <w:divBdr>
            <w:top w:val="none" w:sz="0" w:space="0" w:color="auto"/>
            <w:left w:val="none" w:sz="0" w:space="0" w:color="auto"/>
            <w:bottom w:val="none" w:sz="0" w:space="0" w:color="auto"/>
            <w:right w:val="none" w:sz="0" w:space="0" w:color="auto"/>
          </w:divBdr>
        </w:div>
        <w:div w:id="556476283">
          <w:marLeft w:val="0"/>
          <w:marRight w:val="0"/>
          <w:marTop w:val="0"/>
          <w:marBottom w:val="0"/>
          <w:divBdr>
            <w:top w:val="none" w:sz="0" w:space="0" w:color="auto"/>
            <w:left w:val="none" w:sz="0" w:space="0" w:color="auto"/>
            <w:bottom w:val="none" w:sz="0" w:space="0" w:color="auto"/>
            <w:right w:val="none" w:sz="0" w:space="0" w:color="auto"/>
          </w:divBdr>
        </w:div>
        <w:div w:id="725572023">
          <w:marLeft w:val="0"/>
          <w:marRight w:val="0"/>
          <w:marTop w:val="0"/>
          <w:marBottom w:val="0"/>
          <w:divBdr>
            <w:top w:val="none" w:sz="0" w:space="0" w:color="auto"/>
            <w:left w:val="none" w:sz="0" w:space="0" w:color="auto"/>
            <w:bottom w:val="none" w:sz="0" w:space="0" w:color="auto"/>
            <w:right w:val="none" w:sz="0" w:space="0" w:color="auto"/>
          </w:divBdr>
        </w:div>
        <w:div w:id="1136029404">
          <w:marLeft w:val="0"/>
          <w:marRight w:val="0"/>
          <w:marTop w:val="0"/>
          <w:marBottom w:val="0"/>
          <w:divBdr>
            <w:top w:val="none" w:sz="0" w:space="0" w:color="auto"/>
            <w:left w:val="none" w:sz="0" w:space="0" w:color="auto"/>
            <w:bottom w:val="none" w:sz="0" w:space="0" w:color="auto"/>
            <w:right w:val="none" w:sz="0" w:space="0" w:color="auto"/>
          </w:divBdr>
        </w:div>
        <w:div w:id="1204638480">
          <w:marLeft w:val="0"/>
          <w:marRight w:val="0"/>
          <w:marTop w:val="0"/>
          <w:marBottom w:val="0"/>
          <w:divBdr>
            <w:top w:val="none" w:sz="0" w:space="0" w:color="auto"/>
            <w:left w:val="none" w:sz="0" w:space="0" w:color="auto"/>
            <w:bottom w:val="none" w:sz="0" w:space="0" w:color="auto"/>
            <w:right w:val="none" w:sz="0" w:space="0" w:color="auto"/>
          </w:divBdr>
        </w:div>
        <w:div w:id="1440371248">
          <w:marLeft w:val="0"/>
          <w:marRight w:val="0"/>
          <w:marTop w:val="0"/>
          <w:marBottom w:val="0"/>
          <w:divBdr>
            <w:top w:val="none" w:sz="0" w:space="0" w:color="auto"/>
            <w:left w:val="none" w:sz="0" w:space="0" w:color="auto"/>
            <w:bottom w:val="none" w:sz="0" w:space="0" w:color="auto"/>
            <w:right w:val="none" w:sz="0" w:space="0" w:color="auto"/>
          </w:divBdr>
        </w:div>
        <w:div w:id="1696998698">
          <w:marLeft w:val="0"/>
          <w:marRight w:val="0"/>
          <w:marTop w:val="0"/>
          <w:marBottom w:val="0"/>
          <w:divBdr>
            <w:top w:val="none" w:sz="0" w:space="0" w:color="auto"/>
            <w:left w:val="none" w:sz="0" w:space="0" w:color="auto"/>
            <w:bottom w:val="none" w:sz="0" w:space="0" w:color="auto"/>
            <w:right w:val="none" w:sz="0" w:space="0" w:color="auto"/>
          </w:divBdr>
        </w:div>
      </w:divsChild>
    </w:div>
    <w:div w:id="638534477">
      <w:bodyDiv w:val="1"/>
      <w:marLeft w:val="0"/>
      <w:marRight w:val="0"/>
      <w:marTop w:val="0"/>
      <w:marBottom w:val="0"/>
      <w:divBdr>
        <w:top w:val="none" w:sz="0" w:space="0" w:color="auto"/>
        <w:left w:val="none" w:sz="0" w:space="0" w:color="auto"/>
        <w:bottom w:val="none" w:sz="0" w:space="0" w:color="auto"/>
        <w:right w:val="none" w:sz="0" w:space="0" w:color="auto"/>
      </w:divBdr>
      <w:divsChild>
        <w:div w:id="517501976">
          <w:marLeft w:val="0"/>
          <w:marRight w:val="0"/>
          <w:marTop w:val="0"/>
          <w:marBottom w:val="0"/>
          <w:divBdr>
            <w:top w:val="none" w:sz="0" w:space="0" w:color="auto"/>
            <w:left w:val="none" w:sz="0" w:space="0" w:color="auto"/>
            <w:bottom w:val="none" w:sz="0" w:space="0" w:color="auto"/>
            <w:right w:val="none" w:sz="0" w:space="0" w:color="auto"/>
          </w:divBdr>
        </w:div>
        <w:div w:id="959652328">
          <w:marLeft w:val="0"/>
          <w:marRight w:val="0"/>
          <w:marTop w:val="0"/>
          <w:marBottom w:val="0"/>
          <w:divBdr>
            <w:top w:val="none" w:sz="0" w:space="0" w:color="auto"/>
            <w:left w:val="none" w:sz="0" w:space="0" w:color="auto"/>
            <w:bottom w:val="none" w:sz="0" w:space="0" w:color="auto"/>
            <w:right w:val="none" w:sz="0" w:space="0" w:color="auto"/>
          </w:divBdr>
        </w:div>
        <w:div w:id="1329675510">
          <w:marLeft w:val="0"/>
          <w:marRight w:val="0"/>
          <w:marTop w:val="0"/>
          <w:marBottom w:val="0"/>
          <w:divBdr>
            <w:top w:val="none" w:sz="0" w:space="0" w:color="auto"/>
            <w:left w:val="none" w:sz="0" w:space="0" w:color="auto"/>
            <w:bottom w:val="none" w:sz="0" w:space="0" w:color="auto"/>
            <w:right w:val="none" w:sz="0" w:space="0" w:color="auto"/>
          </w:divBdr>
        </w:div>
        <w:div w:id="1411537370">
          <w:marLeft w:val="0"/>
          <w:marRight w:val="0"/>
          <w:marTop w:val="0"/>
          <w:marBottom w:val="0"/>
          <w:divBdr>
            <w:top w:val="none" w:sz="0" w:space="0" w:color="auto"/>
            <w:left w:val="none" w:sz="0" w:space="0" w:color="auto"/>
            <w:bottom w:val="none" w:sz="0" w:space="0" w:color="auto"/>
            <w:right w:val="none" w:sz="0" w:space="0" w:color="auto"/>
          </w:divBdr>
        </w:div>
        <w:div w:id="1473135750">
          <w:marLeft w:val="0"/>
          <w:marRight w:val="0"/>
          <w:marTop w:val="0"/>
          <w:marBottom w:val="0"/>
          <w:divBdr>
            <w:top w:val="none" w:sz="0" w:space="0" w:color="auto"/>
            <w:left w:val="none" w:sz="0" w:space="0" w:color="auto"/>
            <w:bottom w:val="none" w:sz="0" w:space="0" w:color="auto"/>
            <w:right w:val="none" w:sz="0" w:space="0" w:color="auto"/>
          </w:divBdr>
        </w:div>
        <w:div w:id="1607688001">
          <w:marLeft w:val="0"/>
          <w:marRight w:val="0"/>
          <w:marTop w:val="0"/>
          <w:marBottom w:val="0"/>
          <w:divBdr>
            <w:top w:val="none" w:sz="0" w:space="0" w:color="auto"/>
            <w:left w:val="none" w:sz="0" w:space="0" w:color="auto"/>
            <w:bottom w:val="none" w:sz="0" w:space="0" w:color="auto"/>
            <w:right w:val="none" w:sz="0" w:space="0" w:color="auto"/>
          </w:divBdr>
        </w:div>
        <w:div w:id="1903245635">
          <w:marLeft w:val="0"/>
          <w:marRight w:val="0"/>
          <w:marTop w:val="0"/>
          <w:marBottom w:val="0"/>
          <w:divBdr>
            <w:top w:val="none" w:sz="0" w:space="0" w:color="auto"/>
            <w:left w:val="none" w:sz="0" w:space="0" w:color="auto"/>
            <w:bottom w:val="none" w:sz="0" w:space="0" w:color="auto"/>
            <w:right w:val="none" w:sz="0" w:space="0" w:color="auto"/>
          </w:divBdr>
        </w:div>
      </w:divsChild>
    </w:div>
    <w:div w:id="692344540">
      <w:bodyDiv w:val="1"/>
      <w:marLeft w:val="0"/>
      <w:marRight w:val="0"/>
      <w:marTop w:val="0"/>
      <w:marBottom w:val="0"/>
      <w:divBdr>
        <w:top w:val="none" w:sz="0" w:space="0" w:color="auto"/>
        <w:left w:val="none" w:sz="0" w:space="0" w:color="auto"/>
        <w:bottom w:val="none" w:sz="0" w:space="0" w:color="auto"/>
        <w:right w:val="none" w:sz="0" w:space="0" w:color="auto"/>
      </w:divBdr>
    </w:div>
    <w:div w:id="736703636">
      <w:bodyDiv w:val="1"/>
      <w:marLeft w:val="0"/>
      <w:marRight w:val="0"/>
      <w:marTop w:val="0"/>
      <w:marBottom w:val="0"/>
      <w:divBdr>
        <w:top w:val="none" w:sz="0" w:space="0" w:color="auto"/>
        <w:left w:val="none" w:sz="0" w:space="0" w:color="auto"/>
        <w:bottom w:val="none" w:sz="0" w:space="0" w:color="auto"/>
        <w:right w:val="none" w:sz="0" w:space="0" w:color="auto"/>
      </w:divBdr>
    </w:div>
    <w:div w:id="1371105225">
      <w:bodyDiv w:val="1"/>
      <w:marLeft w:val="0"/>
      <w:marRight w:val="0"/>
      <w:marTop w:val="0"/>
      <w:marBottom w:val="0"/>
      <w:divBdr>
        <w:top w:val="none" w:sz="0" w:space="0" w:color="auto"/>
        <w:left w:val="none" w:sz="0" w:space="0" w:color="auto"/>
        <w:bottom w:val="none" w:sz="0" w:space="0" w:color="auto"/>
        <w:right w:val="none" w:sz="0" w:space="0" w:color="auto"/>
      </w:divBdr>
    </w:div>
    <w:div w:id="171095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542</Characters>
  <Application>Microsoft Office Word</Application>
  <DocSecurity>4</DocSecurity>
  <Lines>4</Lines>
  <Paragraphs>1</Paragraphs>
  <ScaleCrop>false</ScaleCrop>
  <Company/>
  <LinksUpToDate>false</LinksUpToDate>
  <CharactersWithSpaces>635</CharactersWithSpaces>
  <SharedDoc>false</SharedDoc>
  <HLinks>
    <vt:vector size="6" baseType="variant">
      <vt:variant>
        <vt:i4>2818174</vt:i4>
      </vt:variant>
      <vt:variant>
        <vt:i4>0</vt:i4>
      </vt:variant>
      <vt:variant>
        <vt:i4>0</vt:i4>
      </vt:variant>
      <vt:variant>
        <vt:i4>5</vt:i4>
      </vt:variant>
      <vt:variant>
        <vt:lpwstr>http://www/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鄂平</dc:creator>
  <cp:keywords/>
  <dc:description/>
  <cp:lastModifiedBy>ZHONGM</cp:lastModifiedBy>
  <cp:revision>2</cp:revision>
  <cp:lastPrinted>2011-05-27T02:14:00Z</cp:lastPrinted>
  <dcterms:created xsi:type="dcterms:W3CDTF">2020-09-25T16:01:00Z</dcterms:created>
  <dcterms:modified xsi:type="dcterms:W3CDTF">2020-09-25T16:01:00Z</dcterms:modified>
</cp:coreProperties>
</file>