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9A" w:rsidRPr="00DB16DD" w:rsidRDefault="00686E9A" w:rsidP="00686E9A">
      <w:pPr>
        <w:widowControl/>
        <w:spacing w:line="360" w:lineRule="auto"/>
        <w:jc w:val="center"/>
        <w:rPr>
          <w:rFonts w:ascii="Times New Roman" w:hAnsi="Times New Roman" w:cs="Times New Roman"/>
          <w:bCs/>
          <w:szCs w:val="21"/>
        </w:rPr>
      </w:pPr>
      <w:r w:rsidRPr="00DB16DD">
        <w:rPr>
          <w:rFonts w:ascii="Times New Roman" w:hAnsi="Times New Roman" w:cs="Times New Roman"/>
          <w:b/>
          <w:kern w:val="0"/>
          <w:sz w:val="30"/>
          <w:szCs w:val="30"/>
        </w:rPr>
        <w:t>易方达基金管理有限公司关于延长</w:t>
      </w:r>
      <w:r w:rsidRPr="00DB16DD">
        <w:rPr>
          <w:rStyle w:val="a5"/>
          <w:rFonts w:ascii="Times New Roman" w:hAnsi="Times New Roman" w:cs="Times New Roman"/>
          <w:sz w:val="30"/>
          <w:szCs w:val="30"/>
        </w:rPr>
        <w:t>旗下部分开放式</w:t>
      </w:r>
      <w:r w:rsidRPr="00DB16DD">
        <w:rPr>
          <w:rFonts w:ascii="Times New Roman" w:hAnsi="Times New Roman" w:cs="Times New Roman"/>
          <w:b/>
          <w:kern w:val="0"/>
          <w:sz w:val="30"/>
          <w:szCs w:val="30"/>
        </w:rPr>
        <w:t>基金</w:t>
      </w:r>
      <w:r w:rsidR="003B3347" w:rsidRPr="00DB16DD">
        <w:rPr>
          <w:rFonts w:ascii="Times New Roman" w:hAnsi="Times New Roman" w:cs="Times New Roman"/>
          <w:b/>
          <w:kern w:val="0"/>
          <w:sz w:val="30"/>
          <w:szCs w:val="30"/>
        </w:rPr>
        <w:t>在直销中心</w:t>
      </w:r>
      <w:r w:rsidRPr="00DB16DD">
        <w:rPr>
          <w:rFonts w:ascii="Times New Roman" w:hAnsi="Times New Roman" w:cs="Times New Roman"/>
          <w:b/>
          <w:kern w:val="0"/>
          <w:sz w:val="30"/>
          <w:szCs w:val="30"/>
        </w:rPr>
        <w:t>开展赎回费率优惠活动</w:t>
      </w:r>
      <w:r w:rsidR="00BE6056">
        <w:rPr>
          <w:rFonts w:ascii="Times New Roman" w:hAnsi="Times New Roman" w:cs="Times New Roman"/>
          <w:b/>
          <w:kern w:val="0"/>
          <w:sz w:val="30"/>
          <w:szCs w:val="30"/>
        </w:rPr>
        <w:t>时间</w:t>
      </w:r>
      <w:r w:rsidRPr="00DB16DD">
        <w:rPr>
          <w:rFonts w:ascii="Times New Roman" w:hAnsi="Times New Roman" w:cs="Times New Roman"/>
          <w:b/>
          <w:kern w:val="0"/>
          <w:sz w:val="30"/>
          <w:szCs w:val="30"/>
        </w:rPr>
        <w:t>的公告</w:t>
      </w:r>
    </w:p>
    <w:p w:rsidR="00686E9A" w:rsidRPr="00DB16DD" w:rsidRDefault="00686E9A" w:rsidP="00686E9A">
      <w:pPr>
        <w:widowControl/>
        <w:spacing w:line="360" w:lineRule="auto"/>
        <w:ind w:firstLine="480"/>
        <w:jc w:val="left"/>
        <w:rPr>
          <w:rFonts w:ascii="Times New Roman" w:hAnsi="Times New Roman" w:cs="Times New Roman"/>
          <w:kern w:val="0"/>
          <w:szCs w:val="21"/>
        </w:rPr>
      </w:pPr>
    </w:p>
    <w:p w:rsidR="00686E9A" w:rsidRPr="00DB16DD" w:rsidRDefault="00686E9A" w:rsidP="00B1448E">
      <w:pPr>
        <w:widowControl/>
        <w:spacing w:line="360" w:lineRule="auto"/>
        <w:ind w:firstLine="480"/>
        <w:rPr>
          <w:rFonts w:ascii="Times New Roman" w:hAnsi="Times New Roman" w:cs="Times New Roman"/>
          <w:kern w:val="0"/>
          <w:sz w:val="24"/>
          <w:szCs w:val="24"/>
        </w:rPr>
      </w:pPr>
      <w:r w:rsidRPr="00DB16DD">
        <w:rPr>
          <w:rFonts w:ascii="Times New Roman" w:hAnsi="Times New Roman" w:cs="Times New Roman"/>
          <w:kern w:val="0"/>
          <w:sz w:val="24"/>
          <w:szCs w:val="24"/>
        </w:rPr>
        <w:t>为更好地向投资者提供投资理财服务，根据相关法律法规和基金合同有关规定，易方达基金管理有限公司（以下简称</w:t>
      </w:r>
      <w:r w:rsidRPr="00DB16DD">
        <w:rPr>
          <w:rFonts w:ascii="Times New Roman" w:hAnsi="Times New Roman" w:cs="Times New Roman"/>
          <w:kern w:val="0"/>
          <w:sz w:val="24"/>
          <w:szCs w:val="24"/>
        </w:rPr>
        <w:t>“</w:t>
      </w:r>
      <w:r w:rsidRPr="00DB16DD">
        <w:rPr>
          <w:rFonts w:ascii="Times New Roman" w:hAnsi="Times New Roman" w:cs="Times New Roman"/>
          <w:kern w:val="0"/>
          <w:sz w:val="24"/>
          <w:szCs w:val="24"/>
        </w:rPr>
        <w:t>本公司</w:t>
      </w:r>
      <w:r w:rsidRPr="00DB16DD">
        <w:rPr>
          <w:rFonts w:ascii="Times New Roman" w:hAnsi="Times New Roman" w:cs="Times New Roman"/>
          <w:kern w:val="0"/>
          <w:sz w:val="24"/>
          <w:szCs w:val="24"/>
        </w:rPr>
        <w:t>”</w:t>
      </w:r>
      <w:r w:rsidRPr="00DB16DD">
        <w:rPr>
          <w:rFonts w:ascii="Times New Roman" w:hAnsi="Times New Roman" w:cs="Times New Roman"/>
          <w:kern w:val="0"/>
          <w:sz w:val="24"/>
          <w:szCs w:val="24"/>
        </w:rPr>
        <w:t>）决定延长</w:t>
      </w:r>
      <w:r w:rsidR="003B3347" w:rsidRPr="00DB16DD">
        <w:rPr>
          <w:rFonts w:ascii="Times New Roman" w:hAnsi="Times New Roman" w:cs="Times New Roman"/>
          <w:kern w:val="0"/>
          <w:sz w:val="24"/>
          <w:szCs w:val="24"/>
        </w:rPr>
        <w:t>对投资者通过本公司直销中心申请赎回或转换转出旗下部分开放式基金进行赎回费率优惠活动</w:t>
      </w:r>
      <w:r w:rsidR="00BE6056">
        <w:rPr>
          <w:rFonts w:ascii="Times New Roman" w:hAnsi="Times New Roman" w:cs="Times New Roman"/>
          <w:kern w:val="0"/>
          <w:sz w:val="24"/>
          <w:szCs w:val="24"/>
        </w:rPr>
        <w:t>的时间</w:t>
      </w:r>
      <w:r w:rsidR="003B3347" w:rsidRPr="00DB16DD">
        <w:rPr>
          <w:rFonts w:ascii="Times New Roman" w:hAnsi="Times New Roman" w:cs="Times New Roman"/>
          <w:kern w:val="0"/>
          <w:sz w:val="24"/>
          <w:szCs w:val="24"/>
        </w:rPr>
        <w:t>，</w:t>
      </w:r>
      <w:r w:rsidR="00066183" w:rsidRPr="00DB16DD">
        <w:rPr>
          <w:rFonts w:ascii="Times New Roman" w:hAnsi="Times New Roman" w:cs="Times New Roman"/>
          <w:kern w:val="0"/>
          <w:sz w:val="24"/>
          <w:szCs w:val="24"/>
        </w:rPr>
        <w:t>本公司网上直销系统</w:t>
      </w:r>
      <w:r w:rsidR="00DD1585">
        <w:rPr>
          <w:rFonts w:ascii="Times New Roman" w:hAnsi="Times New Roman" w:cs="Times New Roman" w:hint="eastAsia"/>
          <w:kern w:val="0"/>
          <w:sz w:val="24"/>
          <w:szCs w:val="24"/>
        </w:rPr>
        <w:t>暂</w:t>
      </w:r>
      <w:r w:rsidR="00066183" w:rsidRPr="00DB16DD">
        <w:rPr>
          <w:rFonts w:ascii="Times New Roman" w:hAnsi="Times New Roman" w:cs="Times New Roman"/>
          <w:kern w:val="0"/>
          <w:sz w:val="24"/>
          <w:szCs w:val="24"/>
        </w:rPr>
        <w:t>不开展该赎回费率优惠活动。</w:t>
      </w:r>
      <w:r w:rsidRPr="00DB16DD">
        <w:rPr>
          <w:rFonts w:ascii="Times New Roman" w:hAnsi="Times New Roman" w:cs="Times New Roman"/>
          <w:kern w:val="0"/>
          <w:sz w:val="24"/>
          <w:szCs w:val="24"/>
        </w:rPr>
        <w:t>具体安排如下</w:t>
      </w:r>
      <w:bookmarkStart w:id="0" w:name="_GoBack"/>
      <w:bookmarkEnd w:id="0"/>
      <w:r w:rsidRPr="00DB16DD">
        <w:rPr>
          <w:rFonts w:ascii="Times New Roman" w:hAnsi="Times New Roman" w:cs="Times New Roman"/>
          <w:kern w:val="0"/>
          <w:sz w:val="24"/>
          <w:szCs w:val="24"/>
        </w:rPr>
        <w:t>：</w:t>
      </w:r>
    </w:p>
    <w:p w:rsidR="00686E9A" w:rsidRPr="00DB16DD" w:rsidRDefault="00686E9A" w:rsidP="00686E9A">
      <w:pPr>
        <w:widowControl/>
        <w:spacing w:line="360" w:lineRule="auto"/>
        <w:ind w:firstLine="480"/>
        <w:jc w:val="left"/>
        <w:rPr>
          <w:rFonts w:ascii="Times New Roman" w:hAnsi="Times New Roman" w:cs="Times New Roman"/>
          <w:kern w:val="0"/>
          <w:sz w:val="24"/>
          <w:szCs w:val="24"/>
        </w:rPr>
      </w:pPr>
    </w:p>
    <w:p w:rsidR="00686E9A" w:rsidRPr="00DB16DD" w:rsidRDefault="00686E9A" w:rsidP="00686E9A">
      <w:pPr>
        <w:widowControl/>
        <w:spacing w:line="360" w:lineRule="auto"/>
        <w:ind w:firstLine="480"/>
        <w:jc w:val="left"/>
        <w:outlineLvl w:val="0"/>
        <w:rPr>
          <w:rFonts w:ascii="Times New Roman" w:hAnsi="Times New Roman" w:cs="Times New Roman"/>
          <w:b/>
          <w:kern w:val="0"/>
          <w:sz w:val="24"/>
          <w:szCs w:val="24"/>
        </w:rPr>
      </w:pPr>
      <w:r w:rsidRPr="00DB16DD">
        <w:rPr>
          <w:rFonts w:ascii="Times New Roman" w:hAnsi="Times New Roman" w:cs="Times New Roman"/>
          <w:b/>
          <w:kern w:val="0"/>
          <w:sz w:val="24"/>
          <w:szCs w:val="24"/>
        </w:rPr>
        <w:t>一、适用基金</w:t>
      </w:r>
    </w:p>
    <w:tbl>
      <w:tblPr>
        <w:tblStyle w:val="aa"/>
        <w:tblW w:w="5000" w:type="pct"/>
        <w:tblLook w:val="04A0"/>
      </w:tblPr>
      <w:tblGrid>
        <w:gridCol w:w="748"/>
        <w:gridCol w:w="1773"/>
        <w:gridCol w:w="6007"/>
      </w:tblGrid>
      <w:tr w:rsidR="00686E9A" w:rsidRPr="00DB16DD" w:rsidTr="00DB16DD">
        <w:trPr>
          <w:trHeight w:val="285"/>
        </w:trPr>
        <w:tc>
          <w:tcPr>
            <w:tcW w:w="727" w:type="dxa"/>
            <w:vAlign w:val="center"/>
            <w:hideMark/>
          </w:tcPr>
          <w:p w:rsidR="00686E9A" w:rsidRPr="00DB16DD" w:rsidRDefault="00686E9A" w:rsidP="00DB16DD">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编号</w:t>
            </w:r>
          </w:p>
        </w:tc>
        <w:tc>
          <w:tcPr>
            <w:tcW w:w="1725" w:type="dxa"/>
            <w:vAlign w:val="center"/>
            <w:hideMark/>
          </w:tcPr>
          <w:p w:rsidR="00686E9A" w:rsidRPr="00DB16DD" w:rsidRDefault="00686E9A" w:rsidP="00DB16DD">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基金代码</w:t>
            </w:r>
          </w:p>
        </w:tc>
        <w:tc>
          <w:tcPr>
            <w:tcW w:w="5844" w:type="dxa"/>
            <w:vAlign w:val="center"/>
            <w:hideMark/>
          </w:tcPr>
          <w:p w:rsidR="00686E9A" w:rsidRPr="00DB16DD" w:rsidRDefault="00686E9A" w:rsidP="00DB16DD">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基金名称</w:t>
            </w:r>
          </w:p>
        </w:tc>
      </w:tr>
      <w:tr w:rsidR="008155FE" w:rsidRPr="00DB16DD" w:rsidTr="005A6D02">
        <w:trPr>
          <w:trHeight w:val="285"/>
        </w:trPr>
        <w:tc>
          <w:tcPr>
            <w:tcW w:w="727" w:type="dxa"/>
            <w:vAlign w:val="center"/>
            <w:hideMark/>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1</w:t>
            </w:r>
          </w:p>
        </w:tc>
        <w:tc>
          <w:tcPr>
            <w:tcW w:w="1725" w:type="dxa"/>
            <w:hideMark/>
          </w:tcPr>
          <w:p w:rsidR="008155FE" w:rsidRPr="00DB16DD" w:rsidRDefault="008155FE" w:rsidP="008155FE">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001314</w:t>
            </w:r>
          </w:p>
        </w:tc>
        <w:tc>
          <w:tcPr>
            <w:tcW w:w="5844" w:type="dxa"/>
            <w:hideMark/>
          </w:tcPr>
          <w:p w:rsidR="008155FE" w:rsidRPr="005A6D02" w:rsidRDefault="008155FE" w:rsidP="008155FE">
            <w:pPr>
              <w:widowControl/>
              <w:jc w:val="center"/>
              <w:rPr>
                <w:rFonts w:asciiTheme="minorEastAsia" w:hAnsiTheme="minorEastAsia" w:cs="Times New Roman"/>
                <w:kern w:val="0"/>
                <w:sz w:val="24"/>
                <w:szCs w:val="24"/>
              </w:rPr>
            </w:pPr>
            <w:r w:rsidRPr="005A6D02">
              <w:rPr>
                <w:rFonts w:asciiTheme="minorEastAsia" w:hAnsiTheme="minorEastAsia" w:hint="eastAsia"/>
                <w:sz w:val="24"/>
                <w:szCs w:val="24"/>
              </w:rPr>
              <w:t>易方达新益灵活配置混合型证券投资基金（</w:t>
            </w:r>
            <w:r w:rsidRPr="005A6D02">
              <w:rPr>
                <w:rFonts w:asciiTheme="minorEastAsia" w:hAnsiTheme="minorEastAsia"/>
                <w:sz w:val="24"/>
                <w:szCs w:val="24"/>
              </w:rPr>
              <w:t>I</w:t>
            </w:r>
            <w:r w:rsidRPr="005A6D02">
              <w:rPr>
                <w:rFonts w:asciiTheme="minorEastAsia" w:hAnsiTheme="minorEastAsia" w:hint="eastAsia"/>
                <w:sz w:val="24"/>
                <w:szCs w:val="24"/>
              </w:rPr>
              <w:t>类）</w:t>
            </w:r>
          </w:p>
        </w:tc>
      </w:tr>
      <w:tr w:rsidR="008155FE" w:rsidRPr="00DB16DD" w:rsidTr="005A6D02">
        <w:trPr>
          <w:trHeight w:val="285"/>
        </w:trPr>
        <w:tc>
          <w:tcPr>
            <w:tcW w:w="727" w:type="dxa"/>
            <w:vAlign w:val="center"/>
            <w:hideMark/>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2</w:t>
            </w:r>
          </w:p>
        </w:tc>
        <w:tc>
          <w:tcPr>
            <w:tcW w:w="1725" w:type="dxa"/>
            <w:hideMark/>
          </w:tcPr>
          <w:p w:rsidR="008155FE" w:rsidRPr="00DB16DD" w:rsidRDefault="008155FE" w:rsidP="008155FE">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001342</w:t>
            </w:r>
          </w:p>
        </w:tc>
        <w:tc>
          <w:tcPr>
            <w:tcW w:w="5844" w:type="dxa"/>
            <w:hideMark/>
          </w:tcPr>
          <w:p w:rsidR="008155FE" w:rsidRPr="005A6D02" w:rsidRDefault="008155FE" w:rsidP="008155FE">
            <w:pPr>
              <w:widowControl/>
              <w:jc w:val="center"/>
              <w:rPr>
                <w:rFonts w:asciiTheme="minorEastAsia" w:hAnsiTheme="minorEastAsia" w:cs="Times New Roman"/>
                <w:kern w:val="0"/>
                <w:sz w:val="24"/>
                <w:szCs w:val="24"/>
              </w:rPr>
            </w:pPr>
            <w:r w:rsidRPr="005A6D02">
              <w:rPr>
                <w:rFonts w:asciiTheme="minorEastAsia" w:hAnsiTheme="minorEastAsia" w:hint="eastAsia"/>
                <w:sz w:val="24"/>
                <w:szCs w:val="24"/>
              </w:rPr>
              <w:t>易方达新享灵活配置混合型证券投资基金（</w:t>
            </w:r>
            <w:r w:rsidRPr="005A6D02">
              <w:rPr>
                <w:rFonts w:asciiTheme="minorEastAsia" w:hAnsiTheme="minorEastAsia"/>
                <w:sz w:val="24"/>
                <w:szCs w:val="24"/>
              </w:rPr>
              <w:t>A</w:t>
            </w:r>
            <w:r w:rsidRPr="005A6D02">
              <w:rPr>
                <w:rFonts w:asciiTheme="minorEastAsia" w:hAnsiTheme="minorEastAsia" w:hint="eastAsia"/>
                <w:sz w:val="24"/>
                <w:szCs w:val="24"/>
              </w:rPr>
              <w:t>类）</w:t>
            </w:r>
          </w:p>
        </w:tc>
      </w:tr>
      <w:tr w:rsidR="008155FE" w:rsidRPr="00DB16DD" w:rsidTr="005A6D02">
        <w:trPr>
          <w:trHeight w:val="285"/>
        </w:trPr>
        <w:tc>
          <w:tcPr>
            <w:tcW w:w="727" w:type="dxa"/>
            <w:vAlign w:val="center"/>
            <w:hideMark/>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3</w:t>
            </w:r>
          </w:p>
        </w:tc>
        <w:tc>
          <w:tcPr>
            <w:tcW w:w="1725" w:type="dxa"/>
            <w:hideMark/>
          </w:tcPr>
          <w:p w:rsidR="008155FE" w:rsidRPr="00DB16DD" w:rsidRDefault="008155FE" w:rsidP="008155FE">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001136</w:t>
            </w:r>
          </w:p>
        </w:tc>
        <w:tc>
          <w:tcPr>
            <w:tcW w:w="5844" w:type="dxa"/>
            <w:hideMark/>
          </w:tcPr>
          <w:p w:rsidR="008155FE" w:rsidRPr="005A6D02" w:rsidRDefault="008155FE" w:rsidP="008155FE">
            <w:pPr>
              <w:widowControl/>
              <w:jc w:val="center"/>
              <w:rPr>
                <w:rStyle w:val="a5"/>
                <w:rFonts w:asciiTheme="minorEastAsia" w:hAnsiTheme="minorEastAsia" w:cs="Times New Roman"/>
                <w:b w:val="0"/>
                <w:sz w:val="24"/>
                <w:szCs w:val="24"/>
              </w:rPr>
            </w:pPr>
            <w:r w:rsidRPr="005A6D02">
              <w:rPr>
                <w:rFonts w:asciiTheme="minorEastAsia" w:hAnsiTheme="minorEastAsia" w:hint="eastAsia"/>
                <w:sz w:val="24"/>
                <w:szCs w:val="24"/>
              </w:rPr>
              <w:t>易方达裕如灵活配置混合型证券投资基金</w:t>
            </w:r>
          </w:p>
        </w:tc>
      </w:tr>
      <w:tr w:rsidR="008155FE" w:rsidRPr="00DB16DD" w:rsidTr="005A6D02">
        <w:trPr>
          <w:trHeight w:val="285"/>
        </w:trPr>
        <w:tc>
          <w:tcPr>
            <w:tcW w:w="727" w:type="dxa"/>
            <w:vMerge w:val="restart"/>
            <w:vAlign w:val="center"/>
            <w:hideMark/>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4</w:t>
            </w:r>
          </w:p>
        </w:tc>
        <w:tc>
          <w:tcPr>
            <w:tcW w:w="1725" w:type="dxa"/>
            <w:hideMark/>
          </w:tcPr>
          <w:p w:rsidR="008155FE" w:rsidRPr="00DB16DD" w:rsidRDefault="008155FE" w:rsidP="008155FE">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001216</w:t>
            </w:r>
          </w:p>
        </w:tc>
        <w:tc>
          <w:tcPr>
            <w:tcW w:w="5844" w:type="dxa"/>
            <w:hideMark/>
          </w:tcPr>
          <w:p w:rsidR="008155FE" w:rsidRPr="005A6D02" w:rsidRDefault="008155FE" w:rsidP="008155FE">
            <w:pPr>
              <w:widowControl/>
              <w:jc w:val="center"/>
              <w:rPr>
                <w:rStyle w:val="a5"/>
                <w:rFonts w:asciiTheme="minorEastAsia" w:hAnsiTheme="minorEastAsia" w:cs="Times New Roman"/>
                <w:b w:val="0"/>
                <w:sz w:val="24"/>
                <w:szCs w:val="24"/>
              </w:rPr>
            </w:pPr>
            <w:r w:rsidRPr="005A6D02">
              <w:rPr>
                <w:rFonts w:asciiTheme="minorEastAsia" w:hAnsiTheme="minorEastAsia" w:hint="eastAsia"/>
                <w:sz w:val="24"/>
                <w:szCs w:val="24"/>
              </w:rPr>
              <w:t>易方达新收益灵活配置混合型证券投资基金（</w:t>
            </w:r>
            <w:r w:rsidRPr="005A6D02">
              <w:rPr>
                <w:rFonts w:asciiTheme="minorEastAsia" w:hAnsiTheme="minorEastAsia"/>
                <w:sz w:val="24"/>
                <w:szCs w:val="24"/>
              </w:rPr>
              <w:t>A</w:t>
            </w:r>
            <w:r w:rsidRPr="005A6D02">
              <w:rPr>
                <w:rFonts w:asciiTheme="minorEastAsia" w:hAnsiTheme="minorEastAsia" w:hint="eastAsia"/>
                <w:sz w:val="24"/>
                <w:szCs w:val="24"/>
              </w:rPr>
              <w:t>类）</w:t>
            </w:r>
          </w:p>
        </w:tc>
      </w:tr>
      <w:tr w:rsidR="008155FE" w:rsidRPr="00DB16DD" w:rsidTr="005A6D02">
        <w:trPr>
          <w:trHeight w:val="285"/>
        </w:trPr>
        <w:tc>
          <w:tcPr>
            <w:tcW w:w="0" w:type="auto"/>
            <w:vMerge/>
            <w:vAlign w:val="center"/>
            <w:hideMark/>
          </w:tcPr>
          <w:p w:rsidR="008155FE" w:rsidRPr="00DB16DD" w:rsidRDefault="008155FE" w:rsidP="008155FE">
            <w:pPr>
              <w:widowControl/>
              <w:jc w:val="center"/>
              <w:rPr>
                <w:rFonts w:ascii="Times New Roman" w:hAnsi="Times New Roman" w:cs="Times New Roman"/>
                <w:kern w:val="0"/>
                <w:sz w:val="24"/>
                <w:szCs w:val="24"/>
              </w:rPr>
            </w:pPr>
          </w:p>
        </w:tc>
        <w:tc>
          <w:tcPr>
            <w:tcW w:w="1725" w:type="dxa"/>
            <w:hideMark/>
          </w:tcPr>
          <w:p w:rsidR="008155FE" w:rsidRPr="00DB16DD" w:rsidRDefault="008155FE" w:rsidP="008155FE">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001217</w:t>
            </w:r>
          </w:p>
        </w:tc>
        <w:tc>
          <w:tcPr>
            <w:tcW w:w="5844" w:type="dxa"/>
            <w:hideMark/>
          </w:tcPr>
          <w:p w:rsidR="008155FE" w:rsidRPr="005A6D02" w:rsidRDefault="008155FE" w:rsidP="008155FE">
            <w:pPr>
              <w:widowControl/>
              <w:jc w:val="center"/>
              <w:rPr>
                <w:rStyle w:val="a5"/>
                <w:rFonts w:asciiTheme="minorEastAsia" w:hAnsiTheme="minorEastAsia" w:cs="Times New Roman"/>
                <w:b w:val="0"/>
                <w:sz w:val="24"/>
                <w:szCs w:val="24"/>
              </w:rPr>
            </w:pPr>
            <w:r w:rsidRPr="005A6D02">
              <w:rPr>
                <w:rFonts w:asciiTheme="minorEastAsia" w:hAnsiTheme="minorEastAsia" w:hint="eastAsia"/>
                <w:sz w:val="24"/>
                <w:szCs w:val="24"/>
              </w:rPr>
              <w:t>易方达新收益灵活配置混合型证券投资基金（</w:t>
            </w:r>
            <w:r w:rsidRPr="005A6D02">
              <w:rPr>
                <w:rFonts w:asciiTheme="minorEastAsia" w:hAnsiTheme="minorEastAsia"/>
                <w:sz w:val="24"/>
                <w:szCs w:val="24"/>
              </w:rPr>
              <w:t>C</w:t>
            </w:r>
            <w:r w:rsidRPr="005A6D02">
              <w:rPr>
                <w:rFonts w:asciiTheme="minorEastAsia" w:hAnsiTheme="minorEastAsia" w:hint="eastAsia"/>
                <w:sz w:val="24"/>
                <w:szCs w:val="24"/>
              </w:rPr>
              <w:t>类）</w:t>
            </w:r>
          </w:p>
        </w:tc>
      </w:tr>
      <w:tr w:rsidR="008155FE" w:rsidRPr="00DB16DD" w:rsidTr="005A6D02">
        <w:trPr>
          <w:trHeight w:val="285"/>
        </w:trPr>
        <w:tc>
          <w:tcPr>
            <w:tcW w:w="727" w:type="dxa"/>
            <w:vAlign w:val="center"/>
            <w:hideMark/>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5</w:t>
            </w:r>
          </w:p>
        </w:tc>
        <w:tc>
          <w:tcPr>
            <w:tcW w:w="1725" w:type="dxa"/>
            <w:hideMark/>
          </w:tcPr>
          <w:p w:rsidR="008155FE" w:rsidRPr="00DB16DD" w:rsidRDefault="008155FE" w:rsidP="008155FE">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001443</w:t>
            </w:r>
          </w:p>
        </w:tc>
        <w:tc>
          <w:tcPr>
            <w:tcW w:w="5844" w:type="dxa"/>
            <w:hideMark/>
          </w:tcPr>
          <w:p w:rsidR="008155FE" w:rsidRPr="005A6D02" w:rsidRDefault="008155FE" w:rsidP="008155FE">
            <w:pPr>
              <w:widowControl/>
              <w:jc w:val="center"/>
              <w:rPr>
                <w:rStyle w:val="a5"/>
                <w:rFonts w:asciiTheme="minorEastAsia" w:hAnsiTheme="minorEastAsia" w:cs="Times New Roman"/>
                <w:b w:val="0"/>
                <w:sz w:val="24"/>
                <w:szCs w:val="24"/>
              </w:rPr>
            </w:pPr>
            <w:r w:rsidRPr="005A6D02">
              <w:rPr>
                <w:rFonts w:asciiTheme="minorEastAsia" w:hAnsiTheme="minorEastAsia" w:hint="eastAsia"/>
                <w:sz w:val="24"/>
                <w:szCs w:val="24"/>
              </w:rPr>
              <w:t>易方达瑞选灵活配置混合型证券投资基金（</w:t>
            </w:r>
            <w:r w:rsidRPr="005A6D02">
              <w:rPr>
                <w:rFonts w:asciiTheme="minorEastAsia" w:hAnsiTheme="minorEastAsia"/>
                <w:sz w:val="24"/>
                <w:szCs w:val="24"/>
              </w:rPr>
              <w:t>I</w:t>
            </w:r>
            <w:r w:rsidRPr="005A6D02">
              <w:rPr>
                <w:rFonts w:asciiTheme="minorEastAsia" w:hAnsiTheme="minorEastAsia" w:hint="eastAsia"/>
                <w:sz w:val="24"/>
                <w:szCs w:val="24"/>
              </w:rPr>
              <w:t>类）</w:t>
            </w:r>
          </w:p>
        </w:tc>
      </w:tr>
      <w:tr w:rsidR="008155FE" w:rsidRPr="00DB16DD" w:rsidTr="005A6D02">
        <w:trPr>
          <w:trHeight w:val="285"/>
        </w:trPr>
        <w:tc>
          <w:tcPr>
            <w:tcW w:w="727" w:type="dxa"/>
            <w:vAlign w:val="center"/>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6</w:t>
            </w:r>
          </w:p>
        </w:tc>
        <w:tc>
          <w:tcPr>
            <w:tcW w:w="1725" w:type="dxa"/>
          </w:tcPr>
          <w:p w:rsidR="008155FE" w:rsidRPr="00DB16DD" w:rsidRDefault="008155FE" w:rsidP="008155FE">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000307</w:t>
            </w:r>
          </w:p>
        </w:tc>
        <w:tc>
          <w:tcPr>
            <w:tcW w:w="5844" w:type="dxa"/>
          </w:tcPr>
          <w:p w:rsidR="008155FE" w:rsidRPr="005A6D02" w:rsidRDefault="008155FE" w:rsidP="008155FE">
            <w:pPr>
              <w:widowControl/>
              <w:jc w:val="center"/>
              <w:rPr>
                <w:rFonts w:asciiTheme="minorEastAsia" w:hAnsiTheme="minorEastAsia" w:cs="Times New Roman"/>
                <w:kern w:val="0"/>
                <w:sz w:val="24"/>
                <w:szCs w:val="24"/>
              </w:rPr>
            </w:pPr>
            <w:r w:rsidRPr="005A6D02">
              <w:rPr>
                <w:rFonts w:asciiTheme="minorEastAsia" w:hAnsiTheme="minorEastAsia" w:hint="eastAsia"/>
                <w:sz w:val="24"/>
                <w:szCs w:val="24"/>
              </w:rPr>
              <w:t>易方达黄金交易型开放式证券投资基金联接基金（</w:t>
            </w:r>
            <w:r w:rsidRPr="005A6D02">
              <w:rPr>
                <w:rFonts w:asciiTheme="minorEastAsia" w:hAnsiTheme="minorEastAsia"/>
                <w:sz w:val="24"/>
                <w:szCs w:val="24"/>
              </w:rPr>
              <w:t>A</w:t>
            </w:r>
            <w:r w:rsidRPr="005A6D02">
              <w:rPr>
                <w:rFonts w:asciiTheme="minorEastAsia" w:hAnsiTheme="minorEastAsia" w:hint="eastAsia"/>
                <w:sz w:val="24"/>
                <w:szCs w:val="24"/>
              </w:rPr>
              <w:t>类）</w:t>
            </w:r>
          </w:p>
        </w:tc>
      </w:tr>
      <w:tr w:rsidR="008155FE" w:rsidRPr="00DB16DD" w:rsidTr="005A6D02">
        <w:trPr>
          <w:trHeight w:val="285"/>
        </w:trPr>
        <w:tc>
          <w:tcPr>
            <w:tcW w:w="727" w:type="dxa"/>
            <w:vAlign w:val="center"/>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7</w:t>
            </w:r>
          </w:p>
        </w:tc>
        <w:tc>
          <w:tcPr>
            <w:tcW w:w="1725" w:type="dxa"/>
          </w:tcPr>
          <w:p w:rsidR="008155FE" w:rsidRPr="00DB16DD" w:rsidRDefault="008155FE" w:rsidP="005A6D02">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001433</w:t>
            </w:r>
          </w:p>
        </w:tc>
        <w:tc>
          <w:tcPr>
            <w:tcW w:w="5844" w:type="dxa"/>
          </w:tcPr>
          <w:p w:rsidR="008155FE" w:rsidRPr="005A6D02" w:rsidRDefault="008155FE" w:rsidP="008155FE">
            <w:pPr>
              <w:widowControl/>
              <w:spacing w:line="360" w:lineRule="auto"/>
              <w:jc w:val="center"/>
              <w:rPr>
                <w:rFonts w:asciiTheme="minorEastAsia" w:hAnsiTheme="minorEastAsia" w:cs="Times New Roman"/>
                <w:kern w:val="0"/>
                <w:sz w:val="24"/>
                <w:szCs w:val="24"/>
              </w:rPr>
            </w:pPr>
            <w:r w:rsidRPr="005A6D02">
              <w:rPr>
                <w:rFonts w:asciiTheme="minorEastAsia" w:hAnsiTheme="minorEastAsia" w:hint="eastAsia"/>
                <w:sz w:val="24"/>
                <w:szCs w:val="24"/>
              </w:rPr>
              <w:t>易方达瑞景灵活配置混合型证券投资基金</w:t>
            </w:r>
          </w:p>
        </w:tc>
      </w:tr>
      <w:tr w:rsidR="008155FE" w:rsidRPr="00DB16DD" w:rsidTr="005A6D02">
        <w:trPr>
          <w:trHeight w:val="285"/>
        </w:trPr>
        <w:tc>
          <w:tcPr>
            <w:tcW w:w="727" w:type="dxa"/>
            <w:vAlign w:val="center"/>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8</w:t>
            </w:r>
          </w:p>
        </w:tc>
        <w:tc>
          <w:tcPr>
            <w:tcW w:w="1725" w:type="dxa"/>
          </w:tcPr>
          <w:p w:rsidR="008155FE" w:rsidRPr="00DB16DD" w:rsidRDefault="008155FE" w:rsidP="008155FE">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110020</w:t>
            </w:r>
          </w:p>
        </w:tc>
        <w:tc>
          <w:tcPr>
            <w:tcW w:w="5844" w:type="dxa"/>
          </w:tcPr>
          <w:p w:rsidR="008155FE" w:rsidRPr="005A6D02" w:rsidRDefault="008155FE" w:rsidP="008155FE">
            <w:pPr>
              <w:widowControl/>
              <w:jc w:val="center"/>
              <w:rPr>
                <w:rFonts w:asciiTheme="minorEastAsia" w:hAnsiTheme="minorEastAsia" w:cs="Times New Roman"/>
                <w:kern w:val="0"/>
                <w:sz w:val="24"/>
                <w:szCs w:val="24"/>
              </w:rPr>
            </w:pPr>
            <w:r w:rsidRPr="005A6D02">
              <w:rPr>
                <w:rFonts w:asciiTheme="minorEastAsia" w:hAnsiTheme="minorEastAsia" w:hint="eastAsia"/>
                <w:sz w:val="24"/>
                <w:szCs w:val="24"/>
              </w:rPr>
              <w:t>易方达沪深</w:t>
            </w:r>
            <w:r w:rsidRPr="005A6D02">
              <w:rPr>
                <w:rFonts w:asciiTheme="minorEastAsia" w:hAnsiTheme="minorEastAsia"/>
                <w:sz w:val="24"/>
                <w:szCs w:val="24"/>
              </w:rPr>
              <w:t>300</w:t>
            </w:r>
            <w:r w:rsidRPr="005A6D02">
              <w:rPr>
                <w:rFonts w:asciiTheme="minorEastAsia" w:hAnsiTheme="minorEastAsia" w:hint="eastAsia"/>
                <w:sz w:val="24"/>
                <w:szCs w:val="24"/>
              </w:rPr>
              <w:t>交易型开放式指数发起式证券投资基金联接基金</w:t>
            </w:r>
            <w:r w:rsidR="00DD1585" w:rsidRPr="00466446">
              <w:rPr>
                <w:rFonts w:asciiTheme="minorEastAsia" w:hAnsiTheme="minorEastAsia" w:hint="eastAsia"/>
                <w:sz w:val="24"/>
                <w:szCs w:val="24"/>
              </w:rPr>
              <w:t>（</w:t>
            </w:r>
            <w:r w:rsidR="00DD1585" w:rsidRPr="00466446">
              <w:rPr>
                <w:rFonts w:asciiTheme="minorEastAsia" w:hAnsiTheme="minorEastAsia"/>
                <w:sz w:val="24"/>
                <w:szCs w:val="24"/>
              </w:rPr>
              <w:t>A</w:t>
            </w:r>
            <w:r w:rsidR="00DD1585" w:rsidRPr="00466446">
              <w:rPr>
                <w:rFonts w:asciiTheme="minorEastAsia" w:hAnsiTheme="minorEastAsia" w:hint="eastAsia"/>
                <w:sz w:val="24"/>
                <w:szCs w:val="24"/>
              </w:rPr>
              <w:t>类）</w:t>
            </w:r>
          </w:p>
        </w:tc>
      </w:tr>
      <w:tr w:rsidR="008155FE" w:rsidRPr="00DB16DD" w:rsidTr="005A6D02">
        <w:trPr>
          <w:trHeight w:val="285"/>
        </w:trPr>
        <w:tc>
          <w:tcPr>
            <w:tcW w:w="727" w:type="dxa"/>
            <w:vAlign w:val="center"/>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9</w:t>
            </w:r>
          </w:p>
        </w:tc>
        <w:tc>
          <w:tcPr>
            <w:tcW w:w="1725" w:type="dxa"/>
          </w:tcPr>
          <w:p w:rsidR="008155FE" w:rsidRPr="00DB16DD" w:rsidRDefault="008155FE" w:rsidP="008155FE">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110026</w:t>
            </w:r>
          </w:p>
        </w:tc>
        <w:tc>
          <w:tcPr>
            <w:tcW w:w="5844" w:type="dxa"/>
          </w:tcPr>
          <w:p w:rsidR="008155FE" w:rsidRPr="005A6D02" w:rsidRDefault="008155FE" w:rsidP="008155FE">
            <w:pPr>
              <w:widowControl/>
              <w:jc w:val="center"/>
              <w:rPr>
                <w:rFonts w:asciiTheme="minorEastAsia" w:hAnsiTheme="minorEastAsia" w:cs="Times New Roman"/>
                <w:kern w:val="0"/>
                <w:sz w:val="24"/>
                <w:szCs w:val="24"/>
              </w:rPr>
            </w:pPr>
            <w:r w:rsidRPr="005A6D02">
              <w:rPr>
                <w:rFonts w:asciiTheme="minorEastAsia" w:hAnsiTheme="minorEastAsia" w:hint="eastAsia"/>
                <w:sz w:val="24"/>
                <w:szCs w:val="24"/>
              </w:rPr>
              <w:t>易方达创业板交易型开放式指数证券投资基金联接基金</w:t>
            </w:r>
            <w:r w:rsidR="00DD1585" w:rsidRPr="00466446">
              <w:rPr>
                <w:rFonts w:asciiTheme="minorEastAsia" w:hAnsiTheme="minorEastAsia" w:hint="eastAsia"/>
                <w:sz w:val="24"/>
                <w:szCs w:val="24"/>
              </w:rPr>
              <w:t>（</w:t>
            </w:r>
            <w:r w:rsidR="00DD1585" w:rsidRPr="00466446">
              <w:rPr>
                <w:rFonts w:asciiTheme="minorEastAsia" w:hAnsiTheme="minorEastAsia"/>
                <w:sz w:val="24"/>
                <w:szCs w:val="24"/>
              </w:rPr>
              <w:t>A</w:t>
            </w:r>
            <w:r w:rsidR="00DD1585" w:rsidRPr="00466446">
              <w:rPr>
                <w:rFonts w:asciiTheme="minorEastAsia" w:hAnsiTheme="minorEastAsia" w:hint="eastAsia"/>
                <w:sz w:val="24"/>
                <w:szCs w:val="24"/>
              </w:rPr>
              <w:t>类）</w:t>
            </w:r>
          </w:p>
        </w:tc>
      </w:tr>
      <w:tr w:rsidR="008155FE" w:rsidRPr="00DB16DD" w:rsidTr="005A6D02">
        <w:trPr>
          <w:trHeight w:val="285"/>
        </w:trPr>
        <w:tc>
          <w:tcPr>
            <w:tcW w:w="727" w:type="dxa"/>
            <w:vAlign w:val="center"/>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10</w:t>
            </w:r>
          </w:p>
        </w:tc>
        <w:tc>
          <w:tcPr>
            <w:tcW w:w="1725" w:type="dxa"/>
          </w:tcPr>
          <w:p w:rsidR="008155FE" w:rsidRPr="005A6D02" w:rsidRDefault="008155FE" w:rsidP="005A6D02">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006704</w:t>
            </w:r>
          </w:p>
        </w:tc>
        <w:tc>
          <w:tcPr>
            <w:tcW w:w="5844" w:type="dxa"/>
          </w:tcPr>
          <w:p w:rsidR="008155FE" w:rsidRPr="005A6D02" w:rsidRDefault="008155FE" w:rsidP="008155FE">
            <w:pPr>
              <w:jc w:val="center"/>
              <w:rPr>
                <w:rFonts w:asciiTheme="minorEastAsia" w:hAnsiTheme="minorEastAsia" w:cs="Times New Roman"/>
                <w:sz w:val="24"/>
                <w:szCs w:val="24"/>
              </w:rPr>
            </w:pPr>
            <w:r w:rsidRPr="005A6D02">
              <w:rPr>
                <w:rFonts w:asciiTheme="minorEastAsia" w:hAnsiTheme="minorEastAsia" w:hint="eastAsia"/>
                <w:sz w:val="24"/>
                <w:szCs w:val="24"/>
              </w:rPr>
              <w:t>易方达</w:t>
            </w:r>
            <w:r w:rsidRPr="005A6D02">
              <w:rPr>
                <w:rFonts w:asciiTheme="minorEastAsia" w:hAnsiTheme="minorEastAsia"/>
                <w:sz w:val="24"/>
                <w:szCs w:val="24"/>
              </w:rPr>
              <w:t>MSCI</w:t>
            </w:r>
            <w:r w:rsidRPr="005A6D02">
              <w:rPr>
                <w:rFonts w:asciiTheme="minorEastAsia" w:hAnsiTheme="minorEastAsia" w:hint="eastAsia"/>
                <w:sz w:val="24"/>
                <w:szCs w:val="24"/>
              </w:rPr>
              <w:t>中国</w:t>
            </w:r>
            <w:r w:rsidRPr="005A6D02">
              <w:rPr>
                <w:rFonts w:asciiTheme="minorEastAsia" w:hAnsiTheme="minorEastAsia"/>
                <w:sz w:val="24"/>
                <w:szCs w:val="24"/>
              </w:rPr>
              <w:t>A</w:t>
            </w:r>
            <w:r w:rsidRPr="005A6D02">
              <w:rPr>
                <w:rFonts w:asciiTheme="minorEastAsia" w:hAnsiTheme="minorEastAsia" w:hint="eastAsia"/>
                <w:sz w:val="24"/>
                <w:szCs w:val="24"/>
              </w:rPr>
              <w:t>股国际通交易型开放式指数证券投资基金发起式联接基金</w:t>
            </w:r>
            <w:r w:rsidR="00DD1585" w:rsidRPr="00466446">
              <w:rPr>
                <w:rFonts w:asciiTheme="minorEastAsia" w:hAnsiTheme="minorEastAsia" w:hint="eastAsia"/>
                <w:sz w:val="24"/>
                <w:szCs w:val="24"/>
              </w:rPr>
              <w:t>（</w:t>
            </w:r>
            <w:r w:rsidR="00DD1585" w:rsidRPr="00466446">
              <w:rPr>
                <w:rFonts w:asciiTheme="minorEastAsia" w:hAnsiTheme="minorEastAsia"/>
                <w:sz w:val="24"/>
                <w:szCs w:val="24"/>
              </w:rPr>
              <w:t>A</w:t>
            </w:r>
            <w:r w:rsidR="00DD1585" w:rsidRPr="00466446">
              <w:rPr>
                <w:rFonts w:asciiTheme="minorEastAsia" w:hAnsiTheme="minorEastAsia" w:hint="eastAsia"/>
                <w:sz w:val="24"/>
                <w:szCs w:val="24"/>
              </w:rPr>
              <w:t>类）</w:t>
            </w:r>
          </w:p>
        </w:tc>
      </w:tr>
      <w:tr w:rsidR="008155FE" w:rsidRPr="00DB16DD" w:rsidTr="005A6D02">
        <w:trPr>
          <w:trHeight w:val="285"/>
        </w:trPr>
        <w:tc>
          <w:tcPr>
            <w:tcW w:w="727" w:type="dxa"/>
            <w:vAlign w:val="center"/>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11</w:t>
            </w:r>
          </w:p>
        </w:tc>
        <w:tc>
          <w:tcPr>
            <w:tcW w:w="1725" w:type="dxa"/>
          </w:tcPr>
          <w:p w:rsidR="008155FE" w:rsidRPr="005A6D02" w:rsidRDefault="008155FE" w:rsidP="005A6D02">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000950</w:t>
            </w:r>
          </w:p>
        </w:tc>
        <w:tc>
          <w:tcPr>
            <w:tcW w:w="5844" w:type="dxa"/>
          </w:tcPr>
          <w:p w:rsidR="008155FE" w:rsidRPr="005A6D02" w:rsidRDefault="008155FE" w:rsidP="008155FE">
            <w:pPr>
              <w:jc w:val="center"/>
              <w:rPr>
                <w:rFonts w:asciiTheme="minorEastAsia" w:hAnsiTheme="minorEastAsia" w:cs="Times New Roman"/>
                <w:sz w:val="24"/>
                <w:szCs w:val="24"/>
              </w:rPr>
            </w:pPr>
            <w:r w:rsidRPr="005A6D02">
              <w:rPr>
                <w:rFonts w:asciiTheme="minorEastAsia" w:hAnsiTheme="minorEastAsia" w:hint="eastAsia"/>
                <w:sz w:val="24"/>
                <w:szCs w:val="24"/>
              </w:rPr>
              <w:t>易方达沪深</w:t>
            </w:r>
            <w:r w:rsidRPr="005A6D02">
              <w:rPr>
                <w:rFonts w:asciiTheme="minorEastAsia" w:hAnsiTheme="minorEastAsia"/>
                <w:sz w:val="24"/>
                <w:szCs w:val="24"/>
              </w:rPr>
              <w:t>300</w:t>
            </w:r>
            <w:r w:rsidRPr="005A6D02">
              <w:rPr>
                <w:rFonts w:asciiTheme="minorEastAsia" w:hAnsiTheme="minorEastAsia" w:hint="eastAsia"/>
                <w:sz w:val="24"/>
                <w:szCs w:val="24"/>
              </w:rPr>
              <w:t>非银行金融交易型开放式指数证券投资基金联接基金</w:t>
            </w:r>
            <w:r w:rsidR="00DD1585" w:rsidRPr="00466446">
              <w:rPr>
                <w:rFonts w:asciiTheme="minorEastAsia" w:hAnsiTheme="minorEastAsia" w:hint="eastAsia"/>
                <w:sz w:val="24"/>
                <w:szCs w:val="24"/>
              </w:rPr>
              <w:t>（</w:t>
            </w:r>
            <w:r w:rsidR="00DD1585" w:rsidRPr="00466446">
              <w:rPr>
                <w:rFonts w:asciiTheme="minorEastAsia" w:hAnsiTheme="minorEastAsia"/>
                <w:sz w:val="24"/>
                <w:szCs w:val="24"/>
              </w:rPr>
              <w:t>A</w:t>
            </w:r>
            <w:r w:rsidR="00DD1585" w:rsidRPr="00466446">
              <w:rPr>
                <w:rFonts w:asciiTheme="minorEastAsia" w:hAnsiTheme="minorEastAsia" w:hint="eastAsia"/>
                <w:sz w:val="24"/>
                <w:szCs w:val="24"/>
              </w:rPr>
              <w:t>类）</w:t>
            </w:r>
          </w:p>
        </w:tc>
      </w:tr>
      <w:tr w:rsidR="008155FE" w:rsidRPr="00DB16DD" w:rsidTr="005A6D02">
        <w:trPr>
          <w:trHeight w:val="285"/>
        </w:trPr>
        <w:tc>
          <w:tcPr>
            <w:tcW w:w="727" w:type="dxa"/>
            <w:vAlign w:val="center"/>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12</w:t>
            </w:r>
          </w:p>
        </w:tc>
        <w:tc>
          <w:tcPr>
            <w:tcW w:w="1725" w:type="dxa"/>
          </w:tcPr>
          <w:p w:rsidR="008155FE" w:rsidRPr="005A6D02" w:rsidRDefault="008155FE" w:rsidP="005A6D02">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110030</w:t>
            </w:r>
          </w:p>
        </w:tc>
        <w:tc>
          <w:tcPr>
            <w:tcW w:w="5844" w:type="dxa"/>
          </w:tcPr>
          <w:p w:rsidR="008155FE" w:rsidRPr="005A6D02" w:rsidRDefault="008155FE" w:rsidP="008155FE">
            <w:pPr>
              <w:jc w:val="center"/>
              <w:rPr>
                <w:rFonts w:asciiTheme="minorEastAsia" w:hAnsiTheme="minorEastAsia" w:cs="Times New Roman"/>
                <w:sz w:val="24"/>
                <w:szCs w:val="24"/>
              </w:rPr>
            </w:pPr>
            <w:r w:rsidRPr="005A6D02">
              <w:rPr>
                <w:rFonts w:asciiTheme="minorEastAsia" w:hAnsiTheme="minorEastAsia" w:hint="eastAsia"/>
                <w:sz w:val="24"/>
                <w:szCs w:val="24"/>
              </w:rPr>
              <w:t>易方达沪深</w:t>
            </w:r>
            <w:r w:rsidRPr="005A6D02">
              <w:rPr>
                <w:rFonts w:asciiTheme="minorEastAsia" w:hAnsiTheme="minorEastAsia"/>
                <w:sz w:val="24"/>
                <w:szCs w:val="24"/>
              </w:rPr>
              <w:t>300</w:t>
            </w:r>
            <w:r w:rsidRPr="005A6D02">
              <w:rPr>
                <w:rFonts w:asciiTheme="minorEastAsia" w:hAnsiTheme="minorEastAsia" w:hint="eastAsia"/>
                <w:sz w:val="24"/>
                <w:szCs w:val="24"/>
              </w:rPr>
              <w:t>量化增强证券投资基金</w:t>
            </w:r>
          </w:p>
        </w:tc>
      </w:tr>
      <w:tr w:rsidR="008155FE" w:rsidRPr="00DB16DD" w:rsidTr="005A6D02">
        <w:trPr>
          <w:trHeight w:val="285"/>
        </w:trPr>
        <w:tc>
          <w:tcPr>
            <w:tcW w:w="727" w:type="dxa"/>
            <w:vAlign w:val="center"/>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13</w:t>
            </w:r>
          </w:p>
        </w:tc>
        <w:tc>
          <w:tcPr>
            <w:tcW w:w="1725" w:type="dxa"/>
          </w:tcPr>
          <w:p w:rsidR="008155FE" w:rsidRPr="005A6D02" w:rsidRDefault="008155FE" w:rsidP="005A6D02">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110019</w:t>
            </w:r>
          </w:p>
        </w:tc>
        <w:tc>
          <w:tcPr>
            <w:tcW w:w="5844" w:type="dxa"/>
          </w:tcPr>
          <w:p w:rsidR="008155FE" w:rsidRPr="005A6D02" w:rsidRDefault="008155FE" w:rsidP="008155FE">
            <w:pPr>
              <w:jc w:val="center"/>
              <w:rPr>
                <w:rFonts w:asciiTheme="minorEastAsia" w:hAnsiTheme="minorEastAsia" w:cs="Times New Roman"/>
                <w:sz w:val="24"/>
                <w:szCs w:val="24"/>
              </w:rPr>
            </w:pPr>
            <w:r w:rsidRPr="005A6D02">
              <w:rPr>
                <w:rFonts w:asciiTheme="minorEastAsia" w:hAnsiTheme="minorEastAsia" w:hint="eastAsia"/>
                <w:sz w:val="24"/>
                <w:szCs w:val="24"/>
              </w:rPr>
              <w:t>易方达深证</w:t>
            </w:r>
            <w:r w:rsidRPr="005A6D02">
              <w:rPr>
                <w:rFonts w:asciiTheme="minorEastAsia" w:hAnsiTheme="minorEastAsia"/>
                <w:sz w:val="24"/>
                <w:szCs w:val="24"/>
              </w:rPr>
              <w:t>100</w:t>
            </w:r>
            <w:r w:rsidRPr="005A6D02">
              <w:rPr>
                <w:rFonts w:asciiTheme="minorEastAsia" w:hAnsiTheme="minorEastAsia" w:hint="eastAsia"/>
                <w:sz w:val="24"/>
                <w:szCs w:val="24"/>
              </w:rPr>
              <w:t>交易型开放式指数证券投资基金联接基金</w:t>
            </w:r>
            <w:r w:rsidR="00DD1585" w:rsidRPr="00466446">
              <w:rPr>
                <w:rFonts w:asciiTheme="minorEastAsia" w:hAnsiTheme="minorEastAsia" w:hint="eastAsia"/>
                <w:sz w:val="24"/>
                <w:szCs w:val="24"/>
              </w:rPr>
              <w:t>（</w:t>
            </w:r>
            <w:r w:rsidR="00DD1585" w:rsidRPr="00466446">
              <w:rPr>
                <w:rFonts w:asciiTheme="minorEastAsia" w:hAnsiTheme="minorEastAsia"/>
                <w:sz w:val="24"/>
                <w:szCs w:val="24"/>
              </w:rPr>
              <w:t>A</w:t>
            </w:r>
            <w:r w:rsidR="00DD1585" w:rsidRPr="00466446">
              <w:rPr>
                <w:rFonts w:asciiTheme="minorEastAsia" w:hAnsiTheme="minorEastAsia" w:hint="eastAsia"/>
                <w:sz w:val="24"/>
                <w:szCs w:val="24"/>
              </w:rPr>
              <w:t>类）</w:t>
            </w:r>
          </w:p>
        </w:tc>
      </w:tr>
      <w:tr w:rsidR="008155FE" w:rsidRPr="00DB16DD" w:rsidTr="005A6D02">
        <w:trPr>
          <w:trHeight w:val="329"/>
        </w:trPr>
        <w:tc>
          <w:tcPr>
            <w:tcW w:w="727" w:type="dxa"/>
            <w:vAlign w:val="center"/>
          </w:tcPr>
          <w:p w:rsidR="008155FE" w:rsidRPr="00DB16DD" w:rsidRDefault="008155FE" w:rsidP="008155FE">
            <w:pPr>
              <w:widowControl/>
              <w:jc w:val="center"/>
              <w:rPr>
                <w:rFonts w:ascii="Times New Roman" w:hAnsi="Times New Roman" w:cs="Times New Roman"/>
                <w:kern w:val="0"/>
                <w:sz w:val="24"/>
                <w:szCs w:val="24"/>
              </w:rPr>
            </w:pPr>
            <w:r w:rsidRPr="00DB16DD">
              <w:rPr>
                <w:rFonts w:ascii="Times New Roman" w:hAnsi="Times New Roman" w:cs="Times New Roman"/>
                <w:kern w:val="0"/>
                <w:sz w:val="24"/>
                <w:szCs w:val="24"/>
              </w:rPr>
              <w:t>14</w:t>
            </w:r>
          </w:p>
        </w:tc>
        <w:tc>
          <w:tcPr>
            <w:tcW w:w="1725" w:type="dxa"/>
          </w:tcPr>
          <w:p w:rsidR="008155FE" w:rsidRPr="005A6D02" w:rsidRDefault="008155FE" w:rsidP="005A6D02">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001285</w:t>
            </w:r>
          </w:p>
        </w:tc>
        <w:tc>
          <w:tcPr>
            <w:tcW w:w="5844" w:type="dxa"/>
          </w:tcPr>
          <w:p w:rsidR="008155FE" w:rsidRPr="005A6D02" w:rsidRDefault="008155FE">
            <w:pPr>
              <w:jc w:val="center"/>
              <w:rPr>
                <w:rFonts w:asciiTheme="minorEastAsia" w:hAnsiTheme="minorEastAsia" w:cs="Times New Roman"/>
                <w:sz w:val="24"/>
                <w:szCs w:val="24"/>
              </w:rPr>
            </w:pPr>
            <w:r w:rsidRPr="005A6D02">
              <w:rPr>
                <w:rFonts w:asciiTheme="minorEastAsia" w:hAnsiTheme="minorEastAsia" w:hint="eastAsia"/>
                <w:sz w:val="24"/>
                <w:szCs w:val="24"/>
              </w:rPr>
              <w:t>易方达新鑫灵活配置混合型证券投资基金</w:t>
            </w:r>
            <w:r w:rsidR="00DD1585" w:rsidRPr="00466446">
              <w:rPr>
                <w:rFonts w:asciiTheme="minorEastAsia" w:hAnsiTheme="minorEastAsia" w:hint="eastAsia"/>
                <w:sz w:val="24"/>
                <w:szCs w:val="24"/>
              </w:rPr>
              <w:t>（</w:t>
            </w:r>
            <w:r w:rsidR="00DD1585" w:rsidRPr="00466446">
              <w:rPr>
                <w:rFonts w:asciiTheme="minorEastAsia" w:hAnsiTheme="minorEastAsia"/>
                <w:sz w:val="24"/>
                <w:szCs w:val="24"/>
              </w:rPr>
              <w:t>I</w:t>
            </w:r>
            <w:r w:rsidR="00DD1585" w:rsidRPr="00466446">
              <w:rPr>
                <w:rFonts w:asciiTheme="minorEastAsia" w:hAnsiTheme="minorEastAsia" w:hint="eastAsia"/>
                <w:sz w:val="24"/>
                <w:szCs w:val="24"/>
              </w:rPr>
              <w:t>类）</w:t>
            </w:r>
          </w:p>
        </w:tc>
      </w:tr>
      <w:tr w:rsidR="008155FE" w:rsidRPr="00DB16DD" w:rsidTr="005A6D02">
        <w:trPr>
          <w:trHeight w:val="329"/>
        </w:trPr>
        <w:tc>
          <w:tcPr>
            <w:tcW w:w="727" w:type="dxa"/>
            <w:vAlign w:val="center"/>
          </w:tcPr>
          <w:p w:rsidR="008155FE" w:rsidRPr="00DB16DD" w:rsidRDefault="008155FE" w:rsidP="008155FE">
            <w:pPr>
              <w:widowControl/>
              <w:jc w:val="center"/>
              <w:rPr>
                <w:rFonts w:ascii="Times New Roman" w:hAnsi="Times New Roman" w:cs="Times New Roman"/>
                <w:kern w:val="0"/>
                <w:sz w:val="24"/>
                <w:szCs w:val="24"/>
              </w:rPr>
            </w:pPr>
            <w:r>
              <w:rPr>
                <w:rFonts w:ascii="Times New Roman" w:hAnsi="Times New Roman" w:cs="Times New Roman"/>
                <w:kern w:val="0"/>
                <w:sz w:val="24"/>
                <w:szCs w:val="24"/>
              </w:rPr>
              <w:t>15</w:t>
            </w:r>
          </w:p>
        </w:tc>
        <w:tc>
          <w:tcPr>
            <w:tcW w:w="1725" w:type="dxa"/>
          </w:tcPr>
          <w:p w:rsidR="008155FE" w:rsidRPr="008155FE" w:rsidRDefault="008155FE" w:rsidP="005A6D02">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003358</w:t>
            </w:r>
          </w:p>
        </w:tc>
        <w:tc>
          <w:tcPr>
            <w:tcW w:w="5844" w:type="dxa"/>
          </w:tcPr>
          <w:p w:rsidR="008155FE" w:rsidRPr="005A6D02" w:rsidRDefault="008155FE" w:rsidP="008155FE">
            <w:pPr>
              <w:jc w:val="center"/>
              <w:rPr>
                <w:rStyle w:val="a5"/>
                <w:rFonts w:asciiTheme="minorEastAsia" w:hAnsiTheme="minorEastAsia" w:cs="Times New Roman"/>
                <w:b w:val="0"/>
                <w:sz w:val="24"/>
                <w:szCs w:val="24"/>
              </w:rPr>
            </w:pPr>
            <w:r w:rsidRPr="005A6D02">
              <w:rPr>
                <w:rFonts w:asciiTheme="minorEastAsia" w:hAnsiTheme="minorEastAsia" w:hint="eastAsia"/>
                <w:sz w:val="24"/>
                <w:szCs w:val="24"/>
              </w:rPr>
              <w:t>易方达中债</w:t>
            </w:r>
            <w:r w:rsidRPr="005A6D02">
              <w:rPr>
                <w:rFonts w:asciiTheme="minorEastAsia" w:hAnsiTheme="minorEastAsia"/>
                <w:sz w:val="24"/>
                <w:szCs w:val="24"/>
              </w:rPr>
              <w:t>7-10</w:t>
            </w:r>
            <w:r w:rsidRPr="005A6D02">
              <w:rPr>
                <w:rFonts w:asciiTheme="minorEastAsia" w:hAnsiTheme="minorEastAsia" w:hint="eastAsia"/>
                <w:sz w:val="24"/>
                <w:szCs w:val="24"/>
              </w:rPr>
              <w:t>年期国开行债券指数证券投资基金</w:t>
            </w:r>
            <w:r w:rsidR="00DD1585" w:rsidRPr="00466446">
              <w:rPr>
                <w:rFonts w:asciiTheme="minorEastAsia" w:hAnsiTheme="minorEastAsia" w:hint="eastAsia"/>
                <w:sz w:val="24"/>
                <w:szCs w:val="24"/>
              </w:rPr>
              <w:t>（</w:t>
            </w:r>
            <w:r w:rsidR="00DD1585" w:rsidRPr="00466446">
              <w:rPr>
                <w:rFonts w:asciiTheme="minorEastAsia" w:hAnsiTheme="minorEastAsia"/>
                <w:sz w:val="24"/>
                <w:szCs w:val="24"/>
              </w:rPr>
              <w:t>A</w:t>
            </w:r>
            <w:r w:rsidR="00DD1585" w:rsidRPr="00466446">
              <w:rPr>
                <w:rFonts w:asciiTheme="minorEastAsia" w:hAnsiTheme="minorEastAsia" w:hint="eastAsia"/>
                <w:sz w:val="24"/>
                <w:szCs w:val="24"/>
              </w:rPr>
              <w:t>类）</w:t>
            </w:r>
          </w:p>
        </w:tc>
      </w:tr>
      <w:tr w:rsidR="008155FE" w:rsidRPr="00DB16DD" w:rsidTr="005A6D02">
        <w:trPr>
          <w:trHeight w:val="329"/>
        </w:trPr>
        <w:tc>
          <w:tcPr>
            <w:tcW w:w="727" w:type="dxa"/>
            <w:vAlign w:val="center"/>
          </w:tcPr>
          <w:p w:rsidR="008155FE" w:rsidRPr="00DB16DD" w:rsidRDefault="008155FE" w:rsidP="008155FE">
            <w:pPr>
              <w:widowControl/>
              <w:jc w:val="center"/>
              <w:rPr>
                <w:rFonts w:ascii="Times New Roman" w:hAnsi="Times New Roman" w:cs="Times New Roman"/>
                <w:kern w:val="0"/>
                <w:sz w:val="24"/>
                <w:szCs w:val="24"/>
              </w:rPr>
            </w:pPr>
            <w:r>
              <w:rPr>
                <w:rFonts w:ascii="Times New Roman" w:hAnsi="Times New Roman" w:cs="Times New Roman"/>
                <w:kern w:val="0"/>
                <w:sz w:val="24"/>
                <w:szCs w:val="24"/>
              </w:rPr>
              <w:t>16</w:t>
            </w:r>
          </w:p>
        </w:tc>
        <w:tc>
          <w:tcPr>
            <w:tcW w:w="1725" w:type="dxa"/>
          </w:tcPr>
          <w:p w:rsidR="008155FE" w:rsidRPr="008155FE" w:rsidRDefault="008155FE" w:rsidP="005A6D02">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002602</w:t>
            </w:r>
          </w:p>
        </w:tc>
        <w:tc>
          <w:tcPr>
            <w:tcW w:w="5844" w:type="dxa"/>
          </w:tcPr>
          <w:p w:rsidR="008155FE" w:rsidRPr="005A6D02" w:rsidRDefault="008155FE" w:rsidP="008155FE">
            <w:pPr>
              <w:jc w:val="center"/>
              <w:rPr>
                <w:rStyle w:val="a5"/>
                <w:rFonts w:asciiTheme="minorEastAsia" w:hAnsiTheme="minorEastAsia" w:cs="Times New Roman"/>
                <w:b w:val="0"/>
                <w:sz w:val="24"/>
                <w:szCs w:val="24"/>
              </w:rPr>
            </w:pPr>
            <w:r w:rsidRPr="005A6D02">
              <w:rPr>
                <w:rFonts w:asciiTheme="minorEastAsia" w:hAnsiTheme="minorEastAsia" w:hint="eastAsia"/>
                <w:sz w:val="24"/>
                <w:szCs w:val="24"/>
              </w:rPr>
              <w:t>易方达丰惠混合型证券投资基金</w:t>
            </w:r>
          </w:p>
        </w:tc>
      </w:tr>
      <w:tr w:rsidR="008155FE" w:rsidRPr="00DB16DD" w:rsidTr="005A6D02">
        <w:trPr>
          <w:trHeight w:val="329"/>
        </w:trPr>
        <w:tc>
          <w:tcPr>
            <w:tcW w:w="727" w:type="dxa"/>
            <w:vAlign w:val="center"/>
          </w:tcPr>
          <w:p w:rsidR="008155FE" w:rsidRPr="00DB16DD" w:rsidRDefault="008155FE" w:rsidP="008155FE">
            <w:pPr>
              <w:widowControl/>
              <w:jc w:val="center"/>
              <w:rPr>
                <w:rFonts w:ascii="Times New Roman" w:hAnsi="Times New Roman" w:cs="Times New Roman"/>
                <w:kern w:val="0"/>
                <w:sz w:val="24"/>
                <w:szCs w:val="24"/>
              </w:rPr>
            </w:pPr>
            <w:r>
              <w:rPr>
                <w:rFonts w:ascii="Times New Roman" w:hAnsi="Times New Roman" w:cs="Times New Roman"/>
                <w:kern w:val="0"/>
                <w:sz w:val="24"/>
                <w:szCs w:val="24"/>
              </w:rPr>
              <w:t>17</w:t>
            </w:r>
          </w:p>
        </w:tc>
        <w:tc>
          <w:tcPr>
            <w:tcW w:w="1725" w:type="dxa"/>
          </w:tcPr>
          <w:p w:rsidR="008155FE" w:rsidRPr="008155FE" w:rsidRDefault="008155FE" w:rsidP="005A6D02">
            <w:pPr>
              <w:widowControl/>
              <w:jc w:val="center"/>
              <w:rPr>
                <w:rFonts w:ascii="Times New Roman" w:hAnsi="Times New Roman" w:cs="Times New Roman"/>
                <w:kern w:val="0"/>
                <w:sz w:val="24"/>
                <w:szCs w:val="24"/>
              </w:rPr>
            </w:pPr>
            <w:r w:rsidRPr="005A6D02">
              <w:rPr>
                <w:rFonts w:ascii="Times New Roman" w:hAnsi="Times New Roman" w:cs="Times New Roman"/>
                <w:kern w:val="0"/>
                <w:sz w:val="24"/>
                <w:szCs w:val="24"/>
              </w:rPr>
              <w:t>161125</w:t>
            </w:r>
          </w:p>
        </w:tc>
        <w:tc>
          <w:tcPr>
            <w:tcW w:w="5844" w:type="dxa"/>
          </w:tcPr>
          <w:p w:rsidR="008155FE" w:rsidRPr="005A6D02" w:rsidRDefault="008155FE" w:rsidP="008155FE">
            <w:pPr>
              <w:jc w:val="center"/>
              <w:rPr>
                <w:rStyle w:val="a5"/>
                <w:rFonts w:asciiTheme="minorEastAsia" w:hAnsiTheme="minorEastAsia" w:cs="Times New Roman"/>
                <w:b w:val="0"/>
                <w:sz w:val="24"/>
                <w:szCs w:val="24"/>
              </w:rPr>
            </w:pPr>
            <w:r w:rsidRPr="005A6D02">
              <w:rPr>
                <w:rFonts w:asciiTheme="minorEastAsia" w:hAnsiTheme="minorEastAsia" w:hint="eastAsia"/>
                <w:sz w:val="24"/>
                <w:szCs w:val="24"/>
              </w:rPr>
              <w:t>易方达标普</w:t>
            </w:r>
            <w:r w:rsidRPr="005A6D02">
              <w:rPr>
                <w:rFonts w:asciiTheme="minorEastAsia" w:hAnsiTheme="minorEastAsia"/>
                <w:sz w:val="24"/>
                <w:szCs w:val="24"/>
              </w:rPr>
              <w:t>500</w:t>
            </w:r>
            <w:r w:rsidRPr="005A6D02">
              <w:rPr>
                <w:rFonts w:asciiTheme="minorEastAsia" w:hAnsiTheme="minorEastAsia" w:hint="eastAsia"/>
                <w:sz w:val="24"/>
                <w:szCs w:val="24"/>
              </w:rPr>
              <w:t>指数证券投资基金（</w:t>
            </w:r>
            <w:r w:rsidRPr="005A6D02">
              <w:rPr>
                <w:rFonts w:asciiTheme="minorEastAsia" w:hAnsiTheme="minorEastAsia"/>
                <w:sz w:val="24"/>
                <w:szCs w:val="24"/>
              </w:rPr>
              <w:t>LOF</w:t>
            </w:r>
            <w:r w:rsidRPr="005A6D02">
              <w:rPr>
                <w:rFonts w:asciiTheme="minorEastAsia" w:hAnsiTheme="minorEastAsia" w:hint="eastAsia"/>
                <w:sz w:val="24"/>
                <w:szCs w:val="24"/>
              </w:rPr>
              <w:t>）场外人民币基金份额</w:t>
            </w:r>
          </w:p>
        </w:tc>
      </w:tr>
    </w:tbl>
    <w:p w:rsidR="00686E9A" w:rsidRPr="00DB16DD" w:rsidRDefault="00686E9A" w:rsidP="00686E9A">
      <w:pPr>
        <w:widowControl/>
        <w:ind w:firstLine="480"/>
        <w:jc w:val="left"/>
        <w:rPr>
          <w:rFonts w:ascii="Times New Roman" w:hAnsi="Times New Roman" w:cs="Times New Roman"/>
          <w:kern w:val="0"/>
          <w:sz w:val="24"/>
          <w:szCs w:val="24"/>
        </w:rPr>
      </w:pPr>
    </w:p>
    <w:p w:rsidR="00686E9A" w:rsidRPr="00DB16DD" w:rsidRDefault="00686E9A" w:rsidP="00686E9A">
      <w:pPr>
        <w:widowControl/>
        <w:spacing w:line="360" w:lineRule="auto"/>
        <w:ind w:firstLine="480"/>
        <w:jc w:val="left"/>
        <w:outlineLvl w:val="0"/>
        <w:rPr>
          <w:rFonts w:ascii="Times New Roman" w:hAnsi="Times New Roman" w:cs="Times New Roman"/>
          <w:b/>
          <w:kern w:val="0"/>
          <w:sz w:val="24"/>
          <w:szCs w:val="24"/>
        </w:rPr>
      </w:pPr>
      <w:r w:rsidRPr="00DB16DD">
        <w:rPr>
          <w:rFonts w:ascii="Times New Roman" w:hAnsi="Times New Roman" w:cs="Times New Roman"/>
          <w:b/>
          <w:kern w:val="0"/>
          <w:sz w:val="24"/>
          <w:szCs w:val="24"/>
        </w:rPr>
        <w:t>二、优惠时间</w:t>
      </w:r>
    </w:p>
    <w:p w:rsidR="00686E9A" w:rsidRPr="00DB16DD" w:rsidRDefault="00A67FEB" w:rsidP="00686E9A">
      <w:pPr>
        <w:widowControl/>
        <w:spacing w:line="360" w:lineRule="auto"/>
        <w:ind w:firstLine="480"/>
        <w:jc w:val="left"/>
        <w:rPr>
          <w:rFonts w:ascii="Times New Roman" w:hAnsi="Times New Roman" w:cs="Times New Roman"/>
          <w:kern w:val="0"/>
          <w:sz w:val="24"/>
          <w:szCs w:val="24"/>
        </w:rPr>
      </w:pPr>
      <w:r w:rsidRPr="00114E7B">
        <w:rPr>
          <w:rFonts w:ascii="Times New Roman" w:hAnsi="Times New Roman" w:cs="Times New Roman" w:hint="eastAsia"/>
          <w:kern w:val="0"/>
          <w:sz w:val="24"/>
          <w:szCs w:val="24"/>
        </w:rPr>
        <w:lastRenderedPageBreak/>
        <w:t>费率优惠活动自</w:t>
      </w:r>
      <w:r w:rsidRPr="00114E7B">
        <w:rPr>
          <w:rFonts w:ascii="Times New Roman" w:hAnsi="Times New Roman" w:cs="Times New Roman"/>
          <w:kern w:val="0"/>
          <w:sz w:val="24"/>
          <w:szCs w:val="24"/>
        </w:rPr>
        <w:t>2020</w:t>
      </w:r>
      <w:r w:rsidRPr="00114E7B">
        <w:rPr>
          <w:rFonts w:ascii="Times New Roman" w:hAnsi="Times New Roman" w:cs="Times New Roman" w:hint="eastAsia"/>
          <w:kern w:val="0"/>
          <w:sz w:val="24"/>
          <w:szCs w:val="24"/>
        </w:rPr>
        <w:t>年</w:t>
      </w:r>
      <w:r>
        <w:rPr>
          <w:rFonts w:ascii="Times New Roman" w:hAnsi="Times New Roman" w:cs="Times New Roman" w:hint="eastAsia"/>
          <w:kern w:val="0"/>
          <w:sz w:val="24"/>
          <w:szCs w:val="24"/>
        </w:rPr>
        <w:t>9</w:t>
      </w:r>
      <w:r w:rsidRPr="00114E7B">
        <w:rPr>
          <w:rFonts w:ascii="Times New Roman" w:hAnsi="Times New Roman" w:cs="Times New Roman" w:hint="eastAsia"/>
          <w:kern w:val="0"/>
          <w:sz w:val="24"/>
          <w:szCs w:val="24"/>
        </w:rPr>
        <w:t>月</w:t>
      </w:r>
      <w:r w:rsidR="008E7899">
        <w:rPr>
          <w:rFonts w:ascii="Times New Roman" w:hAnsi="Times New Roman" w:cs="Times New Roman" w:hint="eastAsia"/>
          <w:kern w:val="0"/>
          <w:sz w:val="24"/>
          <w:szCs w:val="24"/>
        </w:rPr>
        <w:t>2</w:t>
      </w:r>
      <w:r w:rsidR="00A60BB8">
        <w:rPr>
          <w:rFonts w:ascii="Times New Roman" w:hAnsi="Times New Roman" w:cs="Times New Roman" w:hint="eastAsia"/>
          <w:kern w:val="0"/>
          <w:sz w:val="24"/>
          <w:szCs w:val="24"/>
        </w:rPr>
        <w:t>6</w:t>
      </w:r>
      <w:r w:rsidRPr="00114E7B">
        <w:rPr>
          <w:rFonts w:ascii="Times New Roman" w:hAnsi="Times New Roman" w:cs="Times New Roman" w:hint="eastAsia"/>
          <w:kern w:val="0"/>
          <w:sz w:val="24"/>
          <w:szCs w:val="24"/>
        </w:rPr>
        <w:t>日起开展，暂不设截止日期</w:t>
      </w:r>
      <w:r>
        <w:rPr>
          <w:rFonts w:ascii="Times New Roman" w:hAnsi="Times New Roman" w:cs="Times New Roman"/>
          <w:kern w:val="0"/>
          <w:sz w:val="24"/>
          <w:szCs w:val="24"/>
        </w:rPr>
        <w:t>。</w:t>
      </w:r>
      <w:r w:rsidR="00686E9A" w:rsidRPr="00DB16DD">
        <w:rPr>
          <w:rFonts w:ascii="Times New Roman" w:hAnsi="Times New Roman" w:cs="Times New Roman"/>
          <w:kern w:val="0"/>
          <w:sz w:val="24"/>
          <w:szCs w:val="24"/>
        </w:rPr>
        <w:t>若有变动，本公司将另行公告。</w:t>
      </w:r>
    </w:p>
    <w:p w:rsidR="00686E9A" w:rsidRPr="00DB16DD" w:rsidRDefault="00686E9A" w:rsidP="00686E9A">
      <w:pPr>
        <w:widowControl/>
        <w:spacing w:line="360" w:lineRule="auto"/>
        <w:ind w:firstLine="480"/>
        <w:jc w:val="left"/>
        <w:rPr>
          <w:rFonts w:ascii="Times New Roman" w:hAnsi="Times New Roman" w:cs="Times New Roman"/>
          <w:kern w:val="0"/>
          <w:sz w:val="24"/>
          <w:szCs w:val="24"/>
        </w:rPr>
      </w:pPr>
    </w:p>
    <w:p w:rsidR="00686E9A" w:rsidRPr="00DB16DD" w:rsidRDefault="00686E9A" w:rsidP="00686E9A">
      <w:pPr>
        <w:widowControl/>
        <w:spacing w:line="360" w:lineRule="auto"/>
        <w:ind w:firstLine="480"/>
        <w:jc w:val="left"/>
        <w:outlineLvl w:val="0"/>
        <w:rPr>
          <w:rFonts w:ascii="Times New Roman" w:hAnsi="Times New Roman" w:cs="Times New Roman"/>
          <w:b/>
          <w:kern w:val="0"/>
          <w:sz w:val="24"/>
          <w:szCs w:val="24"/>
        </w:rPr>
      </w:pPr>
      <w:r w:rsidRPr="00DB16DD">
        <w:rPr>
          <w:rFonts w:ascii="Times New Roman" w:hAnsi="Times New Roman" w:cs="Times New Roman"/>
          <w:b/>
          <w:kern w:val="0"/>
          <w:sz w:val="24"/>
          <w:szCs w:val="24"/>
        </w:rPr>
        <w:t>三、费率优惠情况</w:t>
      </w:r>
    </w:p>
    <w:p w:rsidR="00686E9A" w:rsidRPr="00DB16DD" w:rsidRDefault="00DD1585" w:rsidP="00B1448E">
      <w:pPr>
        <w:widowControl/>
        <w:spacing w:line="360" w:lineRule="auto"/>
        <w:ind w:firstLine="480"/>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cs="Times New Roman"/>
          <w:kern w:val="0"/>
          <w:sz w:val="24"/>
          <w:szCs w:val="24"/>
        </w:rPr>
        <w:t>、</w:t>
      </w:r>
      <w:r w:rsidR="00686E9A" w:rsidRPr="00DB16DD">
        <w:rPr>
          <w:rFonts w:ascii="Times New Roman" w:hAnsi="Times New Roman" w:cs="Times New Roman"/>
          <w:kern w:val="0"/>
          <w:sz w:val="24"/>
          <w:szCs w:val="24"/>
        </w:rPr>
        <w:t>优惠活动期间，</w:t>
      </w:r>
      <w:r w:rsidR="003B3347" w:rsidRPr="00DB16DD">
        <w:rPr>
          <w:rFonts w:ascii="Times New Roman" w:hAnsi="Times New Roman" w:cs="Times New Roman"/>
          <w:kern w:val="0"/>
          <w:sz w:val="24"/>
          <w:szCs w:val="24"/>
        </w:rPr>
        <w:t>投资者通过本公司直销中心</w:t>
      </w:r>
      <w:r w:rsidR="00686E9A" w:rsidRPr="00DB16DD">
        <w:rPr>
          <w:rFonts w:ascii="Times New Roman" w:hAnsi="Times New Roman" w:cs="Times New Roman"/>
          <w:kern w:val="0"/>
          <w:sz w:val="24"/>
          <w:szCs w:val="24"/>
        </w:rPr>
        <w:t>申请赎回和转换转出下述基金，赎回费率享有如下优惠：</w:t>
      </w:r>
    </w:p>
    <w:p w:rsidR="00686E9A" w:rsidRPr="00DB16DD" w:rsidRDefault="00686E9A" w:rsidP="00066183">
      <w:pPr>
        <w:widowControl/>
        <w:spacing w:line="360" w:lineRule="auto"/>
        <w:ind w:firstLine="480"/>
        <w:rPr>
          <w:rFonts w:ascii="Times New Roman" w:hAnsi="Times New Roman" w:cs="Times New Roman"/>
          <w:kern w:val="0"/>
          <w:sz w:val="24"/>
          <w:szCs w:val="24"/>
        </w:rPr>
      </w:pPr>
      <w:r w:rsidRPr="00DB16DD">
        <w:rPr>
          <w:rFonts w:ascii="Times New Roman" w:hAnsi="Times New Roman" w:cs="Times New Roman"/>
          <w:kern w:val="0"/>
          <w:sz w:val="24"/>
          <w:szCs w:val="24"/>
        </w:rPr>
        <w:t>（</w:t>
      </w:r>
      <w:r w:rsidRPr="00DB16DD">
        <w:rPr>
          <w:rFonts w:ascii="Times New Roman" w:hAnsi="Times New Roman" w:cs="Times New Roman"/>
          <w:kern w:val="0"/>
          <w:sz w:val="24"/>
          <w:szCs w:val="24"/>
        </w:rPr>
        <w:t>1</w:t>
      </w:r>
      <w:r w:rsidRPr="00DB16DD">
        <w:rPr>
          <w:rFonts w:ascii="Times New Roman" w:hAnsi="Times New Roman" w:cs="Times New Roman"/>
          <w:kern w:val="0"/>
          <w:sz w:val="24"/>
          <w:szCs w:val="24"/>
        </w:rPr>
        <w:t>）易方达新益灵活配置混合型证券投资基金（</w:t>
      </w:r>
      <w:r w:rsidRPr="00DB16DD">
        <w:rPr>
          <w:rFonts w:ascii="Times New Roman" w:hAnsi="Times New Roman" w:cs="Times New Roman"/>
          <w:kern w:val="0"/>
          <w:sz w:val="24"/>
          <w:szCs w:val="24"/>
        </w:rPr>
        <w:t>I</w:t>
      </w:r>
      <w:r w:rsidRPr="00DB16DD">
        <w:rPr>
          <w:rFonts w:ascii="Times New Roman" w:hAnsi="Times New Roman" w:cs="Times New Roman"/>
          <w:kern w:val="0"/>
          <w:sz w:val="24"/>
          <w:szCs w:val="24"/>
        </w:rPr>
        <w:t>类）、易方达新享灵活配置混合型证券投资基金（</w:t>
      </w:r>
      <w:r w:rsidRPr="00DB16DD">
        <w:rPr>
          <w:rFonts w:ascii="Times New Roman" w:hAnsi="Times New Roman" w:cs="Times New Roman"/>
          <w:kern w:val="0"/>
          <w:sz w:val="24"/>
          <w:szCs w:val="24"/>
        </w:rPr>
        <w:t>A</w:t>
      </w:r>
      <w:r w:rsidRPr="00DB16DD">
        <w:rPr>
          <w:rFonts w:ascii="Times New Roman" w:hAnsi="Times New Roman" w:cs="Times New Roman"/>
          <w:kern w:val="0"/>
          <w:sz w:val="24"/>
          <w:szCs w:val="24"/>
        </w:rPr>
        <w:t>类）</w:t>
      </w:r>
      <w:r w:rsidR="003B3347" w:rsidRPr="00DB16DD">
        <w:rPr>
          <w:rFonts w:ascii="Times New Roman" w:hAnsi="Times New Roman" w:cs="Times New Roman"/>
          <w:kern w:val="0"/>
          <w:sz w:val="24"/>
          <w:szCs w:val="24"/>
        </w:rPr>
        <w:t>、易方达瑞选灵活配置混合型证券投资基金（</w:t>
      </w:r>
      <w:r w:rsidR="003B3347" w:rsidRPr="00DB16DD">
        <w:rPr>
          <w:rFonts w:ascii="Times New Roman" w:hAnsi="Times New Roman" w:cs="Times New Roman"/>
          <w:kern w:val="0"/>
          <w:sz w:val="24"/>
          <w:szCs w:val="24"/>
        </w:rPr>
        <w:t>I</w:t>
      </w:r>
      <w:r w:rsidR="003B3347" w:rsidRPr="00DB16DD">
        <w:rPr>
          <w:rFonts w:ascii="Times New Roman" w:hAnsi="Times New Roman" w:cs="Times New Roman"/>
          <w:kern w:val="0"/>
          <w:sz w:val="24"/>
          <w:szCs w:val="24"/>
        </w:rPr>
        <w:t>类）</w:t>
      </w:r>
      <w:r w:rsidR="00F94062" w:rsidRPr="00DB16DD">
        <w:rPr>
          <w:rFonts w:ascii="Times New Roman" w:hAnsi="Times New Roman" w:cs="Times New Roman"/>
          <w:kern w:val="0"/>
          <w:sz w:val="24"/>
          <w:szCs w:val="24"/>
        </w:rPr>
        <w:t>、</w:t>
      </w:r>
      <w:r w:rsidR="00F94062" w:rsidRPr="00DB16DD">
        <w:rPr>
          <w:rStyle w:val="a5"/>
          <w:rFonts w:ascii="Times New Roman" w:hAnsi="Times New Roman" w:cs="Times New Roman"/>
          <w:b w:val="0"/>
          <w:sz w:val="24"/>
          <w:szCs w:val="21"/>
        </w:rPr>
        <w:t>易方达新鑫灵活配置混合型证券投资基金（</w:t>
      </w:r>
      <w:r w:rsidR="00F94062" w:rsidRPr="00DB16DD">
        <w:rPr>
          <w:rFonts w:ascii="Times New Roman" w:hAnsi="Times New Roman" w:cs="Times New Roman"/>
          <w:kern w:val="0"/>
          <w:sz w:val="24"/>
          <w:szCs w:val="21"/>
        </w:rPr>
        <w:t>I</w:t>
      </w:r>
      <w:r w:rsidR="00F94062" w:rsidRPr="00DB16DD">
        <w:rPr>
          <w:rFonts w:ascii="Times New Roman" w:hAnsi="Times New Roman" w:cs="Times New Roman"/>
          <w:kern w:val="0"/>
          <w:sz w:val="24"/>
          <w:szCs w:val="21"/>
        </w:rPr>
        <w:t>类）</w:t>
      </w:r>
    </w:p>
    <w:tbl>
      <w:tblPr>
        <w:tblStyle w:val="aa"/>
        <w:tblW w:w="8370" w:type="dxa"/>
        <w:tblLayout w:type="fixed"/>
        <w:tblLook w:val="04A0"/>
      </w:tblPr>
      <w:tblGrid>
        <w:gridCol w:w="2558"/>
        <w:gridCol w:w="2869"/>
        <w:gridCol w:w="2943"/>
      </w:tblGrid>
      <w:tr w:rsidR="00686E9A" w:rsidRPr="00DB16DD" w:rsidTr="00F9406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持有时间（天）</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原赎回费率</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优惠后赎回费率</w:t>
            </w:r>
          </w:p>
        </w:tc>
      </w:tr>
      <w:tr w:rsidR="00686E9A" w:rsidRPr="00DB16DD" w:rsidTr="00F9406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0-6</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1.5%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1.5%</w:t>
            </w:r>
          </w:p>
        </w:tc>
      </w:tr>
      <w:tr w:rsidR="00686E9A" w:rsidRPr="00DB16DD" w:rsidTr="00F9406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7-29</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0.75%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0.75%</w:t>
            </w:r>
          </w:p>
        </w:tc>
      </w:tr>
      <w:tr w:rsidR="00686E9A" w:rsidRPr="00DB16DD" w:rsidTr="00F9406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30-89</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0.375%</w:t>
            </w:r>
          </w:p>
        </w:tc>
      </w:tr>
      <w:tr w:rsidR="00686E9A" w:rsidRPr="00DB16DD" w:rsidTr="00F9406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90-179</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0.25%</w:t>
            </w:r>
          </w:p>
        </w:tc>
      </w:tr>
      <w:tr w:rsidR="00686E9A" w:rsidRPr="00DB16DD" w:rsidTr="00F9406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180-364</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0.05%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0.0125%</w:t>
            </w:r>
          </w:p>
        </w:tc>
      </w:tr>
      <w:tr w:rsidR="00686E9A" w:rsidRPr="00DB16DD" w:rsidTr="00F9406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365</w:t>
            </w:r>
            <w:r w:rsidRPr="00DB16DD">
              <w:rPr>
                <w:rFonts w:ascii="Times New Roman" w:hAnsi="Times New Roman" w:cs="Times New Roman"/>
                <w:sz w:val="24"/>
              </w:rPr>
              <w:t>及以上</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w:t>
            </w:r>
          </w:p>
        </w:tc>
      </w:tr>
    </w:tbl>
    <w:p w:rsidR="00686E9A" w:rsidRPr="00DB16DD" w:rsidRDefault="00686E9A" w:rsidP="00066183">
      <w:pPr>
        <w:rPr>
          <w:rFonts w:ascii="Times New Roman" w:hAnsi="Times New Roman" w:cs="Times New Roman"/>
        </w:rPr>
      </w:pPr>
    </w:p>
    <w:p w:rsidR="00686E9A" w:rsidRPr="00DB16DD" w:rsidRDefault="00686E9A" w:rsidP="00DB16DD">
      <w:pPr>
        <w:widowControl/>
        <w:spacing w:line="360" w:lineRule="auto"/>
        <w:ind w:firstLine="480"/>
        <w:rPr>
          <w:rFonts w:ascii="Times New Roman" w:hAnsi="Times New Roman" w:cs="Times New Roman"/>
          <w:kern w:val="0"/>
          <w:sz w:val="24"/>
          <w:szCs w:val="24"/>
        </w:rPr>
      </w:pPr>
      <w:r w:rsidRPr="00DB16DD">
        <w:rPr>
          <w:rFonts w:ascii="Times New Roman" w:hAnsi="Times New Roman" w:cs="Times New Roman"/>
          <w:kern w:val="0"/>
          <w:sz w:val="24"/>
          <w:szCs w:val="24"/>
        </w:rPr>
        <w:t>（</w:t>
      </w:r>
      <w:r w:rsidRPr="00DB16DD">
        <w:rPr>
          <w:rFonts w:ascii="Times New Roman" w:hAnsi="Times New Roman" w:cs="Times New Roman"/>
          <w:kern w:val="0"/>
          <w:sz w:val="24"/>
          <w:szCs w:val="24"/>
        </w:rPr>
        <w:t>2</w:t>
      </w:r>
      <w:r w:rsidRPr="00DB16DD">
        <w:rPr>
          <w:rFonts w:ascii="Times New Roman" w:hAnsi="Times New Roman" w:cs="Times New Roman"/>
          <w:kern w:val="0"/>
          <w:sz w:val="24"/>
          <w:szCs w:val="24"/>
        </w:rPr>
        <w:t>）易方达裕如灵活配置混合型证券投资基金</w:t>
      </w:r>
      <w:r w:rsidR="007A4E94" w:rsidRPr="00DB16DD">
        <w:rPr>
          <w:rFonts w:ascii="Times New Roman" w:hAnsi="Times New Roman" w:cs="Times New Roman"/>
          <w:kern w:val="0"/>
          <w:sz w:val="24"/>
          <w:szCs w:val="24"/>
        </w:rPr>
        <w:t>、易方达瑞景灵活配置混合型证券投资基金</w:t>
      </w:r>
    </w:p>
    <w:tbl>
      <w:tblPr>
        <w:tblStyle w:val="aa"/>
        <w:tblW w:w="8370" w:type="dxa"/>
        <w:tblLayout w:type="fixed"/>
        <w:tblLook w:val="04A0"/>
      </w:tblPr>
      <w:tblGrid>
        <w:gridCol w:w="2558"/>
        <w:gridCol w:w="2869"/>
        <w:gridCol w:w="2943"/>
      </w:tblGrid>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持有时间（天）</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原赎回费率</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优惠后赎回费率</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0-6</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1.5%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1.5%</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7-29</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0.75%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0.75%</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30-89</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0.375%</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90-179</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0.25%</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180-364</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0.125%</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365-729</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0.25%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0.0625%</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730</w:t>
            </w:r>
            <w:r w:rsidRPr="00DB16DD">
              <w:rPr>
                <w:rFonts w:ascii="Times New Roman" w:hAnsi="Times New Roman" w:cs="Times New Roman"/>
                <w:sz w:val="24"/>
              </w:rPr>
              <w:t>及以上</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w:t>
            </w:r>
          </w:p>
        </w:tc>
      </w:tr>
    </w:tbl>
    <w:p w:rsidR="00686E9A" w:rsidRPr="00DB16DD" w:rsidRDefault="00686E9A" w:rsidP="00686E9A">
      <w:pPr>
        <w:widowControl/>
        <w:jc w:val="left"/>
        <w:rPr>
          <w:rStyle w:val="a5"/>
          <w:rFonts w:ascii="Times New Roman" w:hAnsi="Times New Roman" w:cs="Times New Roman"/>
          <w:b w:val="0"/>
          <w:sz w:val="24"/>
          <w:szCs w:val="24"/>
        </w:rPr>
      </w:pPr>
    </w:p>
    <w:p w:rsidR="00686E9A" w:rsidRPr="00DB16DD" w:rsidRDefault="00686E9A" w:rsidP="00DB16DD">
      <w:pPr>
        <w:widowControl/>
        <w:spacing w:line="360" w:lineRule="auto"/>
        <w:ind w:firstLine="480"/>
        <w:rPr>
          <w:rFonts w:ascii="Times New Roman" w:hAnsi="Times New Roman" w:cs="Times New Roman"/>
          <w:kern w:val="0"/>
          <w:sz w:val="24"/>
          <w:szCs w:val="24"/>
        </w:rPr>
      </w:pPr>
      <w:r w:rsidRPr="00DB16DD">
        <w:rPr>
          <w:rFonts w:ascii="Times New Roman" w:hAnsi="Times New Roman" w:cs="Times New Roman"/>
          <w:kern w:val="0"/>
          <w:sz w:val="24"/>
          <w:szCs w:val="24"/>
        </w:rPr>
        <w:t>（</w:t>
      </w:r>
      <w:r w:rsidRPr="00DB16DD">
        <w:rPr>
          <w:rFonts w:ascii="Times New Roman" w:hAnsi="Times New Roman" w:cs="Times New Roman"/>
          <w:kern w:val="0"/>
          <w:sz w:val="24"/>
          <w:szCs w:val="24"/>
        </w:rPr>
        <w:t>3</w:t>
      </w:r>
      <w:r w:rsidRPr="00DB16DD">
        <w:rPr>
          <w:rFonts w:ascii="Times New Roman" w:hAnsi="Times New Roman" w:cs="Times New Roman"/>
          <w:kern w:val="0"/>
          <w:sz w:val="24"/>
          <w:szCs w:val="24"/>
        </w:rPr>
        <w:t>）易方达新收益灵活配置混合型证券投资基金（</w:t>
      </w:r>
      <w:r w:rsidRPr="00DB16DD">
        <w:rPr>
          <w:rFonts w:ascii="Times New Roman" w:hAnsi="Times New Roman" w:cs="Times New Roman"/>
          <w:kern w:val="0"/>
          <w:sz w:val="24"/>
          <w:szCs w:val="24"/>
        </w:rPr>
        <w:t>A</w:t>
      </w:r>
      <w:r w:rsidRPr="00DB16DD">
        <w:rPr>
          <w:rFonts w:ascii="Times New Roman" w:hAnsi="Times New Roman" w:cs="Times New Roman"/>
          <w:kern w:val="0"/>
          <w:sz w:val="24"/>
          <w:szCs w:val="24"/>
        </w:rPr>
        <w:t>类）</w:t>
      </w:r>
      <w:r w:rsidR="009E0CF3">
        <w:rPr>
          <w:rFonts w:ascii="Times New Roman" w:hAnsi="Times New Roman" w:cs="Times New Roman"/>
          <w:kern w:val="0"/>
          <w:sz w:val="24"/>
          <w:szCs w:val="24"/>
        </w:rPr>
        <w:t>、</w:t>
      </w:r>
      <w:r w:rsidR="009E0CF3">
        <w:rPr>
          <w:rFonts w:ascii="宋体" w:eastAsia="宋体" w:cs="宋体" w:hint="eastAsia"/>
          <w:kern w:val="0"/>
          <w:sz w:val="24"/>
          <w:szCs w:val="24"/>
        </w:rPr>
        <w:t>易方达丰惠混合型证券投资基金</w:t>
      </w:r>
    </w:p>
    <w:tbl>
      <w:tblPr>
        <w:tblStyle w:val="aa"/>
        <w:tblW w:w="8370" w:type="dxa"/>
        <w:tblLayout w:type="fixed"/>
        <w:tblLook w:val="04A0"/>
      </w:tblPr>
      <w:tblGrid>
        <w:gridCol w:w="2558"/>
        <w:gridCol w:w="2869"/>
        <w:gridCol w:w="2943"/>
      </w:tblGrid>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持有时间（天）</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原赎回费率</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优惠后赎回费率</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0-6</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1.5%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1.5%</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7-29</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0.75%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0.75%</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30-89</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0.375%</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90-179</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0.25%</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180-364</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0.1%</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0.025%</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365-729</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0.05%</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0.0125%</w:t>
            </w:r>
          </w:p>
        </w:tc>
      </w:tr>
      <w:tr w:rsidR="00686E9A" w:rsidRPr="00DB16DD" w:rsidTr="000D2132">
        <w:tc>
          <w:tcPr>
            <w:tcW w:w="2560"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lastRenderedPageBreak/>
              <w:t>730</w:t>
            </w:r>
            <w:r w:rsidRPr="00DB16DD">
              <w:rPr>
                <w:rFonts w:ascii="Times New Roman" w:hAnsi="Times New Roman" w:cs="Times New Roman"/>
                <w:sz w:val="24"/>
              </w:rPr>
              <w:t>及以上</w:t>
            </w:r>
          </w:p>
        </w:tc>
        <w:tc>
          <w:tcPr>
            <w:tcW w:w="2871"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w:t>
            </w:r>
          </w:p>
        </w:tc>
        <w:tc>
          <w:tcPr>
            <w:tcW w:w="2945"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w:t>
            </w:r>
          </w:p>
        </w:tc>
      </w:tr>
    </w:tbl>
    <w:p w:rsidR="00686E9A" w:rsidRPr="00DB16DD" w:rsidRDefault="00686E9A" w:rsidP="00686E9A">
      <w:pPr>
        <w:widowControl/>
        <w:jc w:val="left"/>
        <w:rPr>
          <w:rStyle w:val="a5"/>
          <w:rFonts w:ascii="Times New Roman" w:hAnsi="Times New Roman" w:cs="Times New Roman"/>
          <w:b w:val="0"/>
          <w:sz w:val="24"/>
          <w:szCs w:val="24"/>
        </w:rPr>
      </w:pPr>
    </w:p>
    <w:p w:rsidR="00686E9A" w:rsidRPr="00DB16DD" w:rsidRDefault="00686E9A" w:rsidP="00DB16DD">
      <w:pPr>
        <w:widowControl/>
        <w:spacing w:line="360" w:lineRule="auto"/>
        <w:ind w:firstLine="480"/>
        <w:rPr>
          <w:rFonts w:ascii="Times New Roman" w:hAnsi="Times New Roman" w:cs="Times New Roman"/>
          <w:kern w:val="0"/>
          <w:sz w:val="24"/>
          <w:szCs w:val="24"/>
        </w:rPr>
      </w:pPr>
      <w:r w:rsidRPr="00DB16DD">
        <w:rPr>
          <w:rFonts w:ascii="Times New Roman" w:hAnsi="Times New Roman" w:cs="Times New Roman"/>
          <w:kern w:val="0"/>
          <w:sz w:val="24"/>
          <w:szCs w:val="24"/>
        </w:rPr>
        <w:t>（</w:t>
      </w:r>
      <w:r w:rsidRPr="00DB16DD">
        <w:rPr>
          <w:rFonts w:ascii="Times New Roman" w:hAnsi="Times New Roman" w:cs="Times New Roman"/>
          <w:kern w:val="0"/>
          <w:sz w:val="24"/>
          <w:szCs w:val="24"/>
        </w:rPr>
        <w:t>4</w:t>
      </w:r>
      <w:r w:rsidRPr="00DB16DD">
        <w:rPr>
          <w:rFonts w:ascii="Times New Roman" w:hAnsi="Times New Roman" w:cs="Times New Roman"/>
          <w:kern w:val="0"/>
          <w:sz w:val="24"/>
          <w:szCs w:val="24"/>
        </w:rPr>
        <w:t>）易方达新收益灵活配置混合型证券投资基金（</w:t>
      </w:r>
      <w:r w:rsidRPr="00DB16DD">
        <w:rPr>
          <w:rFonts w:ascii="Times New Roman" w:hAnsi="Times New Roman" w:cs="Times New Roman"/>
          <w:kern w:val="0"/>
          <w:sz w:val="24"/>
          <w:szCs w:val="24"/>
        </w:rPr>
        <w:t>C</w:t>
      </w:r>
      <w:r w:rsidRPr="00DB16DD">
        <w:rPr>
          <w:rFonts w:ascii="Times New Roman" w:hAnsi="Times New Roman" w:cs="Times New Roman"/>
          <w:kern w:val="0"/>
          <w:sz w:val="24"/>
          <w:szCs w:val="24"/>
        </w:rPr>
        <w:t>类）</w:t>
      </w:r>
    </w:p>
    <w:tbl>
      <w:tblPr>
        <w:tblStyle w:val="aa"/>
        <w:tblW w:w="8370" w:type="dxa"/>
        <w:tblLayout w:type="fixed"/>
        <w:tblLook w:val="04A0"/>
      </w:tblPr>
      <w:tblGrid>
        <w:gridCol w:w="2558"/>
        <w:gridCol w:w="2869"/>
        <w:gridCol w:w="2943"/>
      </w:tblGrid>
      <w:tr w:rsidR="00686E9A" w:rsidRPr="00DB16DD" w:rsidTr="00DB16DD">
        <w:tc>
          <w:tcPr>
            <w:tcW w:w="2558"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持有时间（天）</w:t>
            </w:r>
          </w:p>
        </w:tc>
        <w:tc>
          <w:tcPr>
            <w:tcW w:w="2869"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原赎回费率</w:t>
            </w:r>
          </w:p>
        </w:tc>
        <w:tc>
          <w:tcPr>
            <w:tcW w:w="2943"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优惠后赎回费率</w:t>
            </w:r>
          </w:p>
        </w:tc>
      </w:tr>
      <w:tr w:rsidR="00AB4FBA" w:rsidRPr="00DB16DD" w:rsidTr="00DB16DD">
        <w:tc>
          <w:tcPr>
            <w:tcW w:w="2558" w:type="dxa"/>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0-6</w:t>
            </w:r>
          </w:p>
        </w:tc>
        <w:tc>
          <w:tcPr>
            <w:tcW w:w="2869" w:type="dxa"/>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1.5%</w:t>
            </w:r>
          </w:p>
        </w:tc>
        <w:tc>
          <w:tcPr>
            <w:tcW w:w="2943" w:type="dxa"/>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1.5%</w:t>
            </w:r>
          </w:p>
        </w:tc>
      </w:tr>
      <w:tr w:rsidR="00AB4FBA" w:rsidRPr="00DB16DD" w:rsidTr="00DB16DD">
        <w:tc>
          <w:tcPr>
            <w:tcW w:w="2558"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7-29</w:t>
            </w:r>
          </w:p>
        </w:tc>
        <w:tc>
          <w:tcPr>
            <w:tcW w:w="2869"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0.5%</w:t>
            </w:r>
          </w:p>
        </w:tc>
        <w:tc>
          <w:tcPr>
            <w:tcW w:w="2943"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0.5%</w:t>
            </w:r>
          </w:p>
        </w:tc>
      </w:tr>
      <w:tr w:rsidR="00686E9A" w:rsidRPr="00DB16DD" w:rsidTr="00DB16DD">
        <w:tc>
          <w:tcPr>
            <w:tcW w:w="2558"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30-89</w:t>
            </w:r>
          </w:p>
        </w:tc>
        <w:tc>
          <w:tcPr>
            <w:tcW w:w="2869"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0.2%</w:t>
            </w:r>
          </w:p>
        </w:tc>
        <w:tc>
          <w:tcPr>
            <w:tcW w:w="2943"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0.05%</w:t>
            </w:r>
          </w:p>
        </w:tc>
      </w:tr>
      <w:tr w:rsidR="00686E9A" w:rsidRPr="00DB16DD" w:rsidTr="00DB16DD">
        <w:tc>
          <w:tcPr>
            <w:tcW w:w="2558"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90</w:t>
            </w:r>
            <w:r w:rsidRPr="00DB16DD">
              <w:rPr>
                <w:rFonts w:ascii="Times New Roman" w:hAnsi="Times New Roman" w:cs="Times New Roman"/>
                <w:sz w:val="24"/>
              </w:rPr>
              <w:t>及以上</w:t>
            </w:r>
          </w:p>
        </w:tc>
        <w:tc>
          <w:tcPr>
            <w:tcW w:w="2869"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w:t>
            </w:r>
          </w:p>
        </w:tc>
        <w:tc>
          <w:tcPr>
            <w:tcW w:w="2943" w:type="dxa"/>
            <w:hideMark/>
          </w:tcPr>
          <w:p w:rsidR="00686E9A" w:rsidRPr="00DB16DD" w:rsidRDefault="00686E9A" w:rsidP="00DB16DD">
            <w:pPr>
              <w:jc w:val="center"/>
              <w:rPr>
                <w:rFonts w:ascii="Times New Roman" w:hAnsi="Times New Roman" w:cs="Times New Roman"/>
                <w:sz w:val="24"/>
              </w:rPr>
            </w:pPr>
            <w:r w:rsidRPr="00DB16DD">
              <w:rPr>
                <w:rFonts w:ascii="Times New Roman" w:hAnsi="Times New Roman" w:cs="Times New Roman"/>
                <w:sz w:val="24"/>
              </w:rPr>
              <w:t>0%</w:t>
            </w:r>
          </w:p>
        </w:tc>
      </w:tr>
    </w:tbl>
    <w:p w:rsidR="00AB4FBA" w:rsidRPr="00DB16DD" w:rsidRDefault="00AB4FBA" w:rsidP="00AB4FBA">
      <w:pPr>
        <w:widowControl/>
        <w:ind w:firstLineChars="200" w:firstLine="480"/>
        <w:jc w:val="left"/>
        <w:rPr>
          <w:rStyle w:val="a5"/>
          <w:rFonts w:ascii="Times New Roman" w:hAnsi="Times New Roman" w:cs="Times New Roman"/>
          <w:b w:val="0"/>
          <w:sz w:val="24"/>
          <w:szCs w:val="24"/>
        </w:rPr>
      </w:pPr>
    </w:p>
    <w:p w:rsidR="00AB4FBA" w:rsidRPr="00DB16DD" w:rsidRDefault="00AB4FBA" w:rsidP="00DB16DD">
      <w:pPr>
        <w:widowControl/>
        <w:spacing w:line="360" w:lineRule="auto"/>
        <w:ind w:firstLine="480"/>
        <w:rPr>
          <w:rFonts w:ascii="Times New Roman" w:hAnsi="Times New Roman" w:cs="Times New Roman"/>
          <w:kern w:val="0"/>
          <w:sz w:val="24"/>
          <w:szCs w:val="24"/>
        </w:rPr>
      </w:pPr>
      <w:r w:rsidRPr="00DB16DD">
        <w:rPr>
          <w:rFonts w:ascii="Times New Roman" w:hAnsi="Times New Roman" w:cs="Times New Roman"/>
          <w:kern w:val="0"/>
          <w:sz w:val="24"/>
          <w:szCs w:val="24"/>
        </w:rPr>
        <w:t>（</w:t>
      </w:r>
      <w:r w:rsidRPr="00DB16DD">
        <w:rPr>
          <w:rFonts w:ascii="Times New Roman" w:hAnsi="Times New Roman" w:cs="Times New Roman"/>
          <w:kern w:val="0"/>
          <w:sz w:val="24"/>
          <w:szCs w:val="24"/>
        </w:rPr>
        <w:t>5</w:t>
      </w:r>
      <w:r w:rsidRPr="00DB16DD">
        <w:rPr>
          <w:rFonts w:ascii="Times New Roman" w:hAnsi="Times New Roman" w:cs="Times New Roman"/>
          <w:kern w:val="0"/>
          <w:sz w:val="24"/>
          <w:szCs w:val="24"/>
        </w:rPr>
        <w:t>）易方达黄金交易型开放式证券投资基金联接基金（</w:t>
      </w:r>
      <w:r w:rsidRPr="00DB16DD">
        <w:rPr>
          <w:rFonts w:ascii="Times New Roman" w:hAnsi="Times New Roman" w:cs="Times New Roman"/>
          <w:kern w:val="0"/>
          <w:sz w:val="24"/>
          <w:szCs w:val="24"/>
        </w:rPr>
        <w:t>A</w:t>
      </w:r>
      <w:r w:rsidRPr="00DB16DD">
        <w:rPr>
          <w:rFonts w:ascii="Times New Roman" w:hAnsi="Times New Roman" w:cs="Times New Roman"/>
          <w:kern w:val="0"/>
          <w:sz w:val="24"/>
          <w:szCs w:val="24"/>
        </w:rPr>
        <w:t>类）</w:t>
      </w:r>
    </w:p>
    <w:tbl>
      <w:tblPr>
        <w:tblStyle w:val="aa"/>
        <w:tblW w:w="8370" w:type="dxa"/>
        <w:tblLayout w:type="fixed"/>
        <w:tblLook w:val="04A0"/>
      </w:tblPr>
      <w:tblGrid>
        <w:gridCol w:w="2558"/>
        <w:gridCol w:w="2869"/>
        <w:gridCol w:w="2943"/>
      </w:tblGrid>
      <w:tr w:rsidR="00AB4FBA" w:rsidRPr="00DB16DD" w:rsidTr="00DB16DD">
        <w:tc>
          <w:tcPr>
            <w:tcW w:w="2558"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持有时间（天）</w:t>
            </w:r>
          </w:p>
        </w:tc>
        <w:tc>
          <w:tcPr>
            <w:tcW w:w="2869"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原赎回费率</w:t>
            </w:r>
          </w:p>
        </w:tc>
        <w:tc>
          <w:tcPr>
            <w:tcW w:w="2943"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优惠后赎回费率</w:t>
            </w:r>
          </w:p>
        </w:tc>
      </w:tr>
      <w:tr w:rsidR="00AB4FBA" w:rsidRPr="00DB16DD" w:rsidTr="00DB16DD">
        <w:tc>
          <w:tcPr>
            <w:tcW w:w="2558"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0-6</w:t>
            </w:r>
          </w:p>
        </w:tc>
        <w:tc>
          <w:tcPr>
            <w:tcW w:w="2869"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1.5%</w:t>
            </w:r>
          </w:p>
        </w:tc>
        <w:tc>
          <w:tcPr>
            <w:tcW w:w="2943"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1.5%</w:t>
            </w:r>
          </w:p>
        </w:tc>
      </w:tr>
      <w:tr w:rsidR="00AB4FBA" w:rsidRPr="00DB16DD" w:rsidTr="00DB16DD">
        <w:tc>
          <w:tcPr>
            <w:tcW w:w="2558"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7-364</w:t>
            </w:r>
          </w:p>
        </w:tc>
        <w:tc>
          <w:tcPr>
            <w:tcW w:w="2869"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0.2%</w:t>
            </w:r>
          </w:p>
        </w:tc>
        <w:tc>
          <w:tcPr>
            <w:tcW w:w="2943"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0.05%</w:t>
            </w:r>
          </w:p>
        </w:tc>
      </w:tr>
      <w:tr w:rsidR="00AB4FBA" w:rsidRPr="00DB16DD" w:rsidTr="00DB16DD">
        <w:tc>
          <w:tcPr>
            <w:tcW w:w="2558" w:type="dxa"/>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365-729</w:t>
            </w:r>
          </w:p>
        </w:tc>
        <w:tc>
          <w:tcPr>
            <w:tcW w:w="2869" w:type="dxa"/>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0.05%</w:t>
            </w:r>
          </w:p>
        </w:tc>
        <w:tc>
          <w:tcPr>
            <w:tcW w:w="2943" w:type="dxa"/>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0.0125%</w:t>
            </w:r>
          </w:p>
        </w:tc>
      </w:tr>
      <w:tr w:rsidR="00AB4FBA" w:rsidRPr="00DB16DD" w:rsidTr="00DB16DD">
        <w:tc>
          <w:tcPr>
            <w:tcW w:w="2558"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730</w:t>
            </w:r>
            <w:r w:rsidRPr="00DB16DD">
              <w:rPr>
                <w:rFonts w:ascii="Times New Roman" w:hAnsi="Times New Roman" w:cs="Times New Roman"/>
                <w:sz w:val="24"/>
              </w:rPr>
              <w:t>及以上</w:t>
            </w:r>
          </w:p>
        </w:tc>
        <w:tc>
          <w:tcPr>
            <w:tcW w:w="2869"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0%</w:t>
            </w:r>
          </w:p>
        </w:tc>
        <w:tc>
          <w:tcPr>
            <w:tcW w:w="2943" w:type="dxa"/>
            <w:hideMark/>
          </w:tcPr>
          <w:p w:rsidR="00AB4FBA" w:rsidRPr="00DB16DD" w:rsidRDefault="00AB4FBA" w:rsidP="00DB16DD">
            <w:pPr>
              <w:jc w:val="center"/>
              <w:rPr>
                <w:rFonts w:ascii="Times New Roman" w:hAnsi="Times New Roman" w:cs="Times New Roman"/>
                <w:sz w:val="24"/>
              </w:rPr>
            </w:pPr>
            <w:r w:rsidRPr="00DB16DD">
              <w:rPr>
                <w:rFonts w:ascii="Times New Roman" w:hAnsi="Times New Roman" w:cs="Times New Roman"/>
                <w:sz w:val="24"/>
              </w:rPr>
              <w:t>0%</w:t>
            </w:r>
          </w:p>
        </w:tc>
      </w:tr>
    </w:tbl>
    <w:p w:rsidR="003F049A" w:rsidRPr="00DB16DD" w:rsidRDefault="003F049A" w:rsidP="003F049A">
      <w:pPr>
        <w:widowControl/>
        <w:ind w:firstLineChars="200" w:firstLine="480"/>
        <w:jc w:val="left"/>
        <w:rPr>
          <w:rStyle w:val="a5"/>
          <w:rFonts w:ascii="Times New Roman" w:hAnsi="Times New Roman" w:cs="Times New Roman"/>
          <w:b w:val="0"/>
          <w:sz w:val="24"/>
          <w:szCs w:val="24"/>
        </w:rPr>
      </w:pPr>
    </w:p>
    <w:p w:rsidR="003F049A" w:rsidRPr="00DB16DD" w:rsidRDefault="003F049A" w:rsidP="00DB16DD">
      <w:pPr>
        <w:widowControl/>
        <w:spacing w:line="360" w:lineRule="auto"/>
        <w:ind w:firstLine="480"/>
        <w:rPr>
          <w:rFonts w:ascii="Times New Roman" w:hAnsi="Times New Roman" w:cs="Times New Roman"/>
          <w:kern w:val="0"/>
          <w:sz w:val="24"/>
          <w:szCs w:val="24"/>
        </w:rPr>
      </w:pPr>
      <w:r w:rsidRPr="00DB16DD">
        <w:rPr>
          <w:rFonts w:ascii="Times New Roman" w:hAnsi="Times New Roman" w:cs="Times New Roman"/>
          <w:kern w:val="0"/>
          <w:sz w:val="24"/>
          <w:szCs w:val="24"/>
        </w:rPr>
        <w:t>（</w:t>
      </w:r>
      <w:r w:rsidRPr="00DB16DD">
        <w:rPr>
          <w:rFonts w:ascii="Times New Roman" w:hAnsi="Times New Roman" w:cs="Times New Roman"/>
          <w:kern w:val="0"/>
          <w:sz w:val="24"/>
          <w:szCs w:val="24"/>
        </w:rPr>
        <w:t>6</w:t>
      </w:r>
      <w:r w:rsidRPr="00DB16DD">
        <w:rPr>
          <w:rFonts w:ascii="Times New Roman" w:hAnsi="Times New Roman" w:cs="Times New Roman"/>
          <w:kern w:val="0"/>
          <w:sz w:val="24"/>
          <w:szCs w:val="24"/>
        </w:rPr>
        <w:t>）易方达沪深</w:t>
      </w:r>
      <w:r w:rsidRPr="00DB16DD">
        <w:rPr>
          <w:rFonts w:ascii="Times New Roman" w:hAnsi="Times New Roman" w:cs="Times New Roman"/>
          <w:kern w:val="0"/>
          <w:sz w:val="24"/>
          <w:szCs w:val="24"/>
        </w:rPr>
        <w:t>300</w:t>
      </w:r>
      <w:r w:rsidRPr="00DB16DD">
        <w:rPr>
          <w:rFonts w:ascii="Times New Roman" w:hAnsi="Times New Roman" w:cs="Times New Roman"/>
          <w:kern w:val="0"/>
          <w:sz w:val="24"/>
          <w:szCs w:val="24"/>
        </w:rPr>
        <w:t>交易型开放式指数发起式证券投资基金联接基金</w:t>
      </w:r>
      <w:r w:rsidR="002F0390">
        <w:rPr>
          <w:rFonts w:ascii="Times New Roman" w:hAnsi="Times New Roman" w:cs="Times New Roman" w:hint="eastAsia"/>
          <w:kern w:val="0"/>
          <w:sz w:val="24"/>
          <w:szCs w:val="24"/>
        </w:rPr>
        <w:t>（</w:t>
      </w:r>
      <w:r w:rsidR="002F0390">
        <w:rPr>
          <w:rFonts w:ascii="Times New Roman" w:hAnsi="Times New Roman" w:cs="Times New Roman" w:hint="eastAsia"/>
          <w:kern w:val="0"/>
          <w:sz w:val="24"/>
          <w:szCs w:val="24"/>
        </w:rPr>
        <w:t>A</w:t>
      </w:r>
      <w:r w:rsidR="002F0390">
        <w:rPr>
          <w:rFonts w:ascii="Times New Roman" w:hAnsi="Times New Roman" w:cs="Times New Roman"/>
          <w:kern w:val="0"/>
          <w:sz w:val="24"/>
          <w:szCs w:val="24"/>
        </w:rPr>
        <w:t>类）</w:t>
      </w:r>
      <w:r w:rsidRPr="00DB16DD">
        <w:rPr>
          <w:rFonts w:ascii="Times New Roman" w:hAnsi="Times New Roman" w:cs="Times New Roman"/>
          <w:kern w:val="0"/>
          <w:sz w:val="24"/>
          <w:szCs w:val="24"/>
        </w:rPr>
        <w:t>、易方达创业板交易型开放式指数证券投资基金联接基金（</w:t>
      </w:r>
      <w:r w:rsidRPr="00DB16DD">
        <w:rPr>
          <w:rFonts w:ascii="Times New Roman" w:hAnsi="Times New Roman" w:cs="Times New Roman"/>
          <w:kern w:val="0"/>
          <w:sz w:val="24"/>
          <w:szCs w:val="24"/>
        </w:rPr>
        <w:t>A</w:t>
      </w:r>
      <w:r w:rsidRPr="00DB16DD">
        <w:rPr>
          <w:rFonts w:ascii="Times New Roman" w:hAnsi="Times New Roman" w:cs="Times New Roman"/>
          <w:kern w:val="0"/>
          <w:sz w:val="24"/>
          <w:szCs w:val="24"/>
        </w:rPr>
        <w:t>类）、易方达</w:t>
      </w:r>
      <w:r w:rsidRPr="00DB16DD">
        <w:rPr>
          <w:rFonts w:ascii="Times New Roman" w:hAnsi="Times New Roman" w:cs="Times New Roman"/>
          <w:kern w:val="0"/>
          <w:sz w:val="24"/>
          <w:szCs w:val="24"/>
        </w:rPr>
        <w:t>MSCI</w:t>
      </w:r>
      <w:r w:rsidRPr="00DB16DD">
        <w:rPr>
          <w:rFonts w:ascii="Times New Roman" w:hAnsi="Times New Roman" w:cs="Times New Roman"/>
          <w:kern w:val="0"/>
          <w:sz w:val="24"/>
          <w:szCs w:val="24"/>
        </w:rPr>
        <w:t>中国</w:t>
      </w:r>
      <w:r w:rsidRPr="00DB16DD">
        <w:rPr>
          <w:rFonts w:ascii="Times New Roman" w:hAnsi="Times New Roman" w:cs="Times New Roman"/>
          <w:kern w:val="0"/>
          <w:sz w:val="24"/>
          <w:szCs w:val="24"/>
        </w:rPr>
        <w:t>A</w:t>
      </w:r>
      <w:r w:rsidRPr="00DB16DD">
        <w:rPr>
          <w:rFonts w:ascii="Times New Roman" w:hAnsi="Times New Roman" w:cs="Times New Roman"/>
          <w:kern w:val="0"/>
          <w:sz w:val="24"/>
          <w:szCs w:val="24"/>
        </w:rPr>
        <w:t>股国际通交易型开放式指数证券投资基金发起式联接基金（</w:t>
      </w:r>
      <w:r w:rsidRPr="00DB16DD">
        <w:rPr>
          <w:rFonts w:ascii="Times New Roman" w:hAnsi="Times New Roman" w:cs="Times New Roman"/>
          <w:kern w:val="0"/>
          <w:sz w:val="24"/>
          <w:szCs w:val="24"/>
        </w:rPr>
        <w:t>A</w:t>
      </w:r>
      <w:r w:rsidRPr="00DB16DD">
        <w:rPr>
          <w:rFonts w:ascii="Times New Roman" w:hAnsi="Times New Roman" w:cs="Times New Roman"/>
          <w:kern w:val="0"/>
          <w:sz w:val="24"/>
          <w:szCs w:val="24"/>
        </w:rPr>
        <w:t>类）、易方达沪深</w:t>
      </w:r>
      <w:r w:rsidRPr="00DB16DD">
        <w:rPr>
          <w:rFonts w:ascii="Times New Roman" w:hAnsi="Times New Roman" w:cs="Times New Roman"/>
          <w:kern w:val="0"/>
          <w:sz w:val="24"/>
          <w:szCs w:val="24"/>
        </w:rPr>
        <w:t>300</w:t>
      </w:r>
      <w:r w:rsidRPr="00DB16DD">
        <w:rPr>
          <w:rFonts w:ascii="Times New Roman" w:hAnsi="Times New Roman" w:cs="Times New Roman"/>
          <w:kern w:val="0"/>
          <w:sz w:val="24"/>
          <w:szCs w:val="24"/>
        </w:rPr>
        <w:t>非银行金融交易型开放式指数证券投资基金联接基金</w:t>
      </w:r>
      <w:r w:rsidR="002F0390">
        <w:rPr>
          <w:rFonts w:ascii="Times New Roman" w:hAnsi="Times New Roman" w:cs="Times New Roman" w:hint="eastAsia"/>
          <w:kern w:val="0"/>
          <w:sz w:val="24"/>
          <w:szCs w:val="24"/>
        </w:rPr>
        <w:t>（</w:t>
      </w:r>
      <w:r w:rsidR="002F0390">
        <w:rPr>
          <w:rFonts w:ascii="Times New Roman" w:hAnsi="Times New Roman" w:cs="Times New Roman" w:hint="eastAsia"/>
          <w:kern w:val="0"/>
          <w:sz w:val="24"/>
          <w:szCs w:val="24"/>
        </w:rPr>
        <w:t>A</w:t>
      </w:r>
      <w:r w:rsidR="002F0390">
        <w:rPr>
          <w:rFonts w:ascii="Times New Roman" w:hAnsi="Times New Roman" w:cs="Times New Roman"/>
          <w:kern w:val="0"/>
          <w:sz w:val="24"/>
          <w:szCs w:val="24"/>
        </w:rPr>
        <w:t>类）</w:t>
      </w:r>
      <w:r w:rsidRPr="00DB16DD">
        <w:rPr>
          <w:rFonts w:ascii="Times New Roman" w:hAnsi="Times New Roman" w:cs="Times New Roman"/>
          <w:kern w:val="0"/>
          <w:sz w:val="24"/>
          <w:szCs w:val="24"/>
        </w:rPr>
        <w:t>、易方达沪深</w:t>
      </w:r>
      <w:r w:rsidRPr="00DB16DD">
        <w:rPr>
          <w:rFonts w:ascii="Times New Roman" w:hAnsi="Times New Roman" w:cs="Times New Roman"/>
          <w:kern w:val="0"/>
          <w:sz w:val="24"/>
          <w:szCs w:val="24"/>
        </w:rPr>
        <w:t>300</w:t>
      </w:r>
      <w:r w:rsidRPr="00DB16DD">
        <w:rPr>
          <w:rFonts w:ascii="Times New Roman" w:hAnsi="Times New Roman" w:cs="Times New Roman"/>
          <w:kern w:val="0"/>
          <w:sz w:val="24"/>
          <w:szCs w:val="24"/>
        </w:rPr>
        <w:t>量化增强证券投资基金</w:t>
      </w:r>
    </w:p>
    <w:tbl>
      <w:tblPr>
        <w:tblStyle w:val="aa"/>
        <w:tblW w:w="8370" w:type="dxa"/>
        <w:tblLayout w:type="fixed"/>
        <w:tblLook w:val="04A0"/>
      </w:tblPr>
      <w:tblGrid>
        <w:gridCol w:w="2558"/>
        <w:gridCol w:w="2869"/>
        <w:gridCol w:w="2943"/>
      </w:tblGrid>
      <w:tr w:rsidR="003F049A" w:rsidRPr="00DB16DD" w:rsidTr="00DB16DD">
        <w:tc>
          <w:tcPr>
            <w:tcW w:w="2558" w:type="dxa"/>
            <w:hideMark/>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持有时间（天）</w:t>
            </w:r>
          </w:p>
        </w:tc>
        <w:tc>
          <w:tcPr>
            <w:tcW w:w="2869" w:type="dxa"/>
            <w:hideMark/>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原赎回费率</w:t>
            </w:r>
          </w:p>
        </w:tc>
        <w:tc>
          <w:tcPr>
            <w:tcW w:w="2943" w:type="dxa"/>
            <w:hideMark/>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优惠后赎回费率</w:t>
            </w:r>
          </w:p>
        </w:tc>
      </w:tr>
      <w:tr w:rsidR="003F049A" w:rsidRPr="00DB16DD" w:rsidTr="00DB16DD">
        <w:tc>
          <w:tcPr>
            <w:tcW w:w="2558" w:type="dxa"/>
            <w:hideMark/>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0-6</w:t>
            </w:r>
          </w:p>
        </w:tc>
        <w:tc>
          <w:tcPr>
            <w:tcW w:w="2869" w:type="dxa"/>
            <w:hideMark/>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1.5%</w:t>
            </w:r>
          </w:p>
        </w:tc>
        <w:tc>
          <w:tcPr>
            <w:tcW w:w="2943" w:type="dxa"/>
            <w:hideMark/>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1.5%</w:t>
            </w:r>
          </w:p>
        </w:tc>
      </w:tr>
      <w:tr w:rsidR="003F049A" w:rsidRPr="00DB16DD" w:rsidTr="00DB16DD">
        <w:tc>
          <w:tcPr>
            <w:tcW w:w="2558" w:type="dxa"/>
            <w:hideMark/>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7-364</w:t>
            </w:r>
          </w:p>
        </w:tc>
        <w:tc>
          <w:tcPr>
            <w:tcW w:w="2869" w:type="dxa"/>
            <w:hideMark/>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0.5%</w:t>
            </w:r>
          </w:p>
        </w:tc>
        <w:tc>
          <w:tcPr>
            <w:tcW w:w="2943" w:type="dxa"/>
            <w:hideMark/>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0.125%</w:t>
            </w:r>
          </w:p>
        </w:tc>
      </w:tr>
      <w:tr w:rsidR="003F049A" w:rsidRPr="00DB16DD" w:rsidTr="00DB16DD">
        <w:tc>
          <w:tcPr>
            <w:tcW w:w="2558" w:type="dxa"/>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365-729</w:t>
            </w:r>
          </w:p>
        </w:tc>
        <w:tc>
          <w:tcPr>
            <w:tcW w:w="2869" w:type="dxa"/>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0.25%</w:t>
            </w:r>
          </w:p>
        </w:tc>
        <w:tc>
          <w:tcPr>
            <w:tcW w:w="2943" w:type="dxa"/>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0.0625%</w:t>
            </w:r>
          </w:p>
        </w:tc>
      </w:tr>
      <w:tr w:rsidR="003F049A" w:rsidRPr="00DB16DD" w:rsidTr="00DB16DD">
        <w:tc>
          <w:tcPr>
            <w:tcW w:w="2558" w:type="dxa"/>
            <w:hideMark/>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730</w:t>
            </w:r>
            <w:r w:rsidRPr="00DB16DD">
              <w:rPr>
                <w:rFonts w:ascii="Times New Roman" w:hAnsi="Times New Roman" w:cs="Times New Roman"/>
                <w:sz w:val="24"/>
              </w:rPr>
              <w:t>及以上</w:t>
            </w:r>
          </w:p>
        </w:tc>
        <w:tc>
          <w:tcPr>
            <w:tcW w:w="2869" w:type="dxa"/>
            <w:hideMark/>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0%</w:t>
            </w:r>
          </w:p>
        </w:tc>
        <w:tc>
          <w:tcPr>
            <w:tcW w:w="2943" w:type="dxa"/>
            <w:hideMark/>
          </w:tcPr>
          <w:p w:rsidR="003F049A" w:rsidRPr="00DB16DD" w:rsidRDefault="003F049A" w:rsidP="00DB16DD">
            <w:pPr>
              <w:jc w:val="center"/>
              <w:rPr>
                <w:rFonts w:ascii="Times New Roman" w:hAnsi="Times New Roman" w:cs="Times New Roman"/>
                <w:sz w:val="24"/>
              </w:rPr>
            </w:pPr>
            <w:r w:rsidRPr="00DB16DD">
              <w:rPr>
                <w:rFonts w:ascii="Times New Roman" w:hAnsi="Times New Roman" w:cs="Times New Roman"/>
                <w:sz w:val="24"/>
              </w:rPr>
              <w:t>0%</w:t>
            </w:r>
          </w:p>
        </w:tc>
      </w:tr>
    </w:tbl>
    <w:p w:rsidR="003F049A" w:rsidRPr="00DB16DD" w:rsidRDefault="003F049A" w:rsidP="003F049A">
      <w:pPr>
        <w:widowControl/>
        <w:jc w:val="left"/>
        <w:rPr>
          <w:rFonts w:ascii="Times New Roman" w:hAnsi="Times New Roman" w:cs="Times New Roman"/>
          <w:kern w:val="0"/>
          <w:sz w:val="24"/>
          <w:szCs w:val="24"/>
        </w:rPr>
      </w:pPr>
    </w:p>
    <w:p w:rsidR="001A40ED" w:rsidRPr="00DB16DD" w:rsidRDefault="001A40ED" w:rsidP="00DB16DD">
      <w:pPr>
        <w:widowControl/>
        <w:spacing w:line="360" w:lineRule="auto"/>
        <w:ind w:firstLine="480"/>
        <w:rPr>
          <w:rFonts w:ascii="Times New Roman" w:hAnsi="Times New Roman" w:cs="Times New Roman"/>
          <w:kern w:val="0"/>
          <w:sz w:val="24"/>
          <w:szCs w:val="24"/>
        </w:rPr>
      </w:pPr>
      <w:r w:rsidRPr="00DB16DD">
        <w:rPr>
          <w:rFonts w:ascii="Times New Roman" w:hAnsi="Times New Roman" w:cs="Times New Roman"/>
          <w:kern w:val="0"/>
          <w:sz w:val="24"/>
          <w:szCs w:val="24"/>
        </w:rPr>
        <w:t>（</w:t>
      </w:r>
      <w:r w:rsidRPr="00DB16DD">
        <w:rPr>
          <w:rFonts w:ascii="Times New Roman" w:hAnsi="Times New Roman" w:cs="Times New Roman"/>
          <w:kern w:val="0"/>
          <w:sz w:val="24"/>
          <w:szCs w:val="24"/>
        </w:rPr>
        <w:t>7</w:t>
      </w:r>
      <w:r w:rsidRPr="00DB16DD">
        <w:rPr>
          <w:rFonts w:ascii="Times New Roman" w:hAnsi="Times New Roman" w:cs="Times New Roman"/>
          <w:kern w:val="0"/>
          <w:sz w:val="24"/>
          <w:szCs w:val="24"/>
        </w:rPr>
        <w:t>）易方达深证</w:t>
      </w:r>
      <w:r w:rsidRPr="00DB16DD">
        <w:rPr>
          <w:rFonts w:ascii="Times New Roman" w:hAnsi="Times New Roman" w:cs="Times New Roman"/>
          <w:kern w:val="0"/>
          <w:sz w:val="24"/>
          <w:szCs w:val="24"/>
        </w:rPr>
        <w:t>100</w:t>
      </w:r>
      <w:r w:rsidRPr="00DB16DD">
        <w:rPr>
          <w:rFonts w:ascii="Times New Roman" w:hAnsi="Times New Roman" w:cs="Times New Roman"/>
          <w:kern w:val="0"/>
          <w:sz w:val="24"/>
          <w:szCs w:val="24"/>
        </w:rPr>
        <w:t>交易型开放式指数证券投资基金联接基金（</w:t>
      </w:r>
      <w:r w:rsidRPr="00DB16DD">
        <w:rPr>
          <w:rFonts w:ascii="Times New Roman" w:hAnsi="Times New Roman" w:cs="Times New Roman"/>
          <w:kern w:val="0"/>
          <w:sz w:val="24"/>
          <w:szCs w:val="24"/>
        </w:rPr>
        <w:t>A</w:t>
      </w:r>
      <w:r w:rsidRPr="00DB16DD">
        <w:rPr>
          <w:rFonts w:ascii="Times New Roman" w:hAnsi="Times New Roman" w:cs="Times New Roman"/>
          <w:kern w:val="0"/>
          <w:sz w:val="24"/>
          <w:szCs w:val="24"/>
        </w:rPr>
        <w:t>类）</w:t>
      </w:r>
    </w:p>
    <w:tbl>
      <w:tblPr>
        <w:tblStyle w:val="aa"/>
        <w:tblW w:w="8359" w:type="dxa"/>
        <w:tblLayout w:type="fixed"/>
        <w:tblLook w:val="04A0"/>
      </w:tblPr>
      <w:tblGrid>
        <w:gridCol w:w="2689"/>
        <w:gridCol w:w="2693"/>
        <w:gridCol w:w="2977"/>
      </w:tblGrid>
      <w:tr w:rsidR="001A40ED" w:rsidRPr="00DB16DD" w:rsidTr="00DB16DD">
        <w:trPr>
          <w:trHeight w:val="20"/>
        </w:trPr>
        <w:tc>
          <w:tcPr>
            <w:tcW w:w="2689"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持有时间（天）</w:t>
            </w:r>
          </w:p>
        </w:tc>
        <w:tc>
          <w:tcPr>
            <w:tcW w:w="2693"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原赎回费率</w:t>
            </w:r>
          </w:p>
        </w:tc>
        <w:tc>
          <w:tcPr>
            <w:tcW w:w="2977"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优惠后赎回费率</w:t>
            </w:r>
          </w:p>
        </w:tc>
      </w:tr>
      <w:tr w:rsidR="001A40ED" w:rsidRPr="00DB16DD" w:rsidTr="00DB16DD">
        <w:trPr>
          <w:trHeight w:val="20"/>
        </w:trPr>
        <w:tc>
          <w:tcPr>
            <w:tcW w:w="2689"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0-6</w:t>
            </w:r>
          </w:p>
        </w:tc>
        <w:tc>
          <w:tcPr>
            <w:tcW w:w="2693"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1.5%</w:t>
            </w:r>
          </w:p>
        </w:tc>
        <w:tc>
          <w:tcPr>
            <w:tcW w:w="2977"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1.5%</w:t>
            </w:r>
          </w:p>
        </w:tc>
      </w:tr>
      <w:tr w:rsidR="001A40ED" w:rsidRPr="00DB16DD" w:rsidTr="00DB16DD">
        <w:trPr>
          <w:trHeight w:val="20"/>
        </w:trPr>
        <w:tc>
          <w:tcPr>
            <w:tcW w:w="2689"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7-90</w:t>
            </w:r>
          </w:p>
        </w:tc>
        <w:tc>
          <w:tcPr>
            <w:tcW w:w="2693"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0.5%</w:t>
            </w:r>
          </w:p>
        </w:tc>
        <w:tc>
          <w:tcPr>
            <w:tcW w:w="2977"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0.125%</w:t>
            </w:r>
          </w:p>
        </w:tc>
      </w:tr>
      <w:tr w:rsidR="001A40ED" w:rsidRPr="00DB16DD" w:rsidTr="00DB16DD">
        <w:trPr>
          <w:trHeight w:val="20"/>
        </w:trPr>
        <w:tc>
          <w:tcPr>
            <w:tcW w:w="2689"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91-729</w:t>
            </w:r>
          </w:p>
        </w:tc>
        <w:tc>
          <w:tcPr>
            <w:tcW w:w="2693"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0.25%</w:t>
            </w:r>
          </w:p>
        </w:tc>
        <w:tc>
          <w:tcPr>
            <w:tcW w:w="2977"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0.0625%</w:t>
            </w:r>
          </w:p>
        </w:tc>
      </w:tr>
      <w:tr w:rsidR="001A40ED" w:rsidRPr="00DB16DD" w:rsidTr="00DB16DD">
        <w:trPr>
          <w:trHeight w:val="20"/>
        </w:trPr>
        <w:tc>
          <w:tcPr>
            <w:tcW w:w="2689"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730</w:t>
            </w:r>
            <w:r w:rsidRPr="00DB16DD">
              <w:rPr>
                <w:rFonts w:ascii="Times New Roman" w:hAnsi="Times New Roman" w:cs="Times New Roman"/>
                <w:sz w:val="24"/>
              </w:rPr>
              <w:t>及以上</w:t>
            </w:r>
          </w:p>
        </w:tc>
        <w:tc>
          <w:tcPr>
            <w:tcW w:w="2693"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0%</w:t>
            </w:r>
          </w:p>
        </w:tc>
        <w:tc>
          <w:tcPr>
            <w:tcW w:w="2977" w:type="dxa"/>
            <w:hideMark/>
          </w:tcPr>
          <w:p w:rsidR="001A40ED" w:rsidRPr="00DB16DD" w:rsidRDefault="001A40ED" w:rsidP="00DB16DD">
            <w:pPr>
              <w:jc w:val="center"/>
              <w:rPr>
                <w:rFonts w:ascii="Times New Roman" w:hAnsi="Times New Roman" w:cs="Times New Roman"/>
                <w:sz w:val="24"/>
              </w:rPr>
            </w:pPr>
            <w:r w:rsidRPr="00DB16DD">
              <w:rPr>
                <w:rFonts w:ascii="Times New Roman" w:hAnsi="Times New Roman" w:cs="Times New Roman"/>
                <w:sz w:val="24"/>
              </w:rPr>
              <w:t>0%</w:t>
            </w:r>
          </w:p>
        </w:tc>
      </w:tr>
    </w:tbl>
    <w:p w:rsidR="00686E9A" w:rsidRPr="00DB16DD" w:rsidRDefault="00686E9A" w:rsidP="00686E9A">
      <w:pPr>
        <w:widowControl/>
        <w:jc w:val="left"/>
        <w:rPr>
          <w:rFonts w:ascii="Times New Roman" w:hAnsi="Times New Roman" w:cs="Times New Roman"/>
          <w:kern w:val="0"/>
          <w:sz w:val="24"/>
          <w:szCs w:val="24"/>
        </w:rPr>
      </w:pPr>
    </w:p>
    <w:p w:rsidR="009E0CF3" w:rsidRPr="00DB16DD" w:rsidRDefault="009E0CF3" w:rsidP="009E0CF3">
      <w:pPr>
        <w:widowControl/>
        <w:spacing w:line="360" w:lineRule="auto"/>
        <w:ind w:firstLine="480"/>
        <w:rPr>
          <w:rFonts w:ascii="Times New Roman" w:hAnsi="Times New Roman" w:cs="Times New Roman"/>
          <w:kern w:val="0"/>
          <w:sz w:val="24"/>
          <w:szCs w:val="24"/>
        </w:rPr>
      </w:pPr>
      <w:r w:rsidRPr="00DB16DD">
        <w:rPr>
          <w:rFonts w:ascii="Times New Roman" w:hAnsi="Times New Roman" w:cs="Times New Roman"/>
          <w:kern w:val="0"/>
          <w:sz w:val="24"/>
          <w:szCs w:val="24"/>
        </w:rPr>
        <w:t>（</w:t>
      </w:r>
      <w:r w:rsidR="00EB4744">
        <w:rPr>
          <w:rFonts w:ascii="Times New Roman" w:hAnsi="Times New Roman" w:cs="Times New Roman"/>
          <w:kern w:val="0"/>
          <w:sz w:val="24"/>
          <w:szCs w:val="24"/>
        </w:rPr>
        <w:t>8</w:t>
      </w:r>
      <w:r w:rsidRPr="00DB16DD">
        <w:rPr>
          <w:rFonts w:ascii="Times New Roman" w:hAnsi="Times New Roman" w:cs="Times New Roman"/>
          <w:kern w:val="0"/>
          <w:sz w:val="24"/>
          <w:szCs w:val="24"/>
        </w:rPr>
        <w:t>）</w:t>
      </w:r>
      <w:r w:rsidRPr="009E0CF3">
        <w:rPr>
          <w:rFonts w:ascii="Times New Roman" w:hAnsi="Times New Roman" w:cs="Times New Roman" w:hint="eastAsia"/>
          <w:kern w:val="0"/>
          <w:sz w:val="24"/>
          <w:szCs w:val="24"/>
        </w:rPr>
        <w:t>易方达中债</w:t>
      </w:r>
      <w:r w:rsidRPr="009E0CF3">
        <w:rPr>
          <w:rFonts w:ascii="Times New Roman" w:hAnsi="Times New Roman" w:cs="Times New Roman" w:hint="eastAsia"/>
          <w:kern w:val="0"/>
          <w:sz w:val="24"/>
          <w:szCs w:val="24"/>
        </w:rPr>
        <w:t>7-10</w:t>
      </w:r>
      <w:r w:rsidRPr="009E0CF3">
        <w:rPr>
          <w:rFonts w:ascii="Times New Roman" w:hAnsi="Times New Roman" w:cs="Times New Roman" w:hint="eastAsia"/>
          <w:kern w:val="0"/>
          <w:sz w:val="24"/>
          <w:szCs w:val="24"/>
        </w:rPr>
        <w:t>年期国开行债券指数证券投资基金</w:t>
      </w:r>
      <w:r w:rsidR="00DD1585" w:rsidRPr="00DB16DD">
        <w:rPr>
          <w:rFonts w:ascii="Times New Roman" w:hAnsi="Times New Roman" w:cs="Times New Roman"/>
          <w:kern w:val="0"/>
          <w:sz w:val="24"/>
          <w:szCs w:val="24"/>
        </w:rPr>
        <w:t>（</w:t>
      </w:r>
      <w:r w:rsidR="00DD1585" w:rsidRPr="00DB16DD">
        <w:rPr>
          <w:rFonts w:ascii="Times New Roman" w:hAnsi="Times New Roman" w:cs="Times New Roman"/>
          <w:kern w:val="0"/>
          <w:sz w:val="24"/>
          <w:szCs w:val="24"/>
        </w:rPr>
        <w:t>A</w:t>
      </w:r>
      <w:r w:rsidR="00DD1585" w:rsidRPr="00DB16DD">
        <w:rPr>
          <w:rFonts w:ascii="Times New Roman" w:hAnsi="Times New Roman" w:cs="Times New Roman"/>
          <w:kern w:val="0"/>
          <w:sz w:val="24"/>
          <w:szCs w:val="24"/>
        </w:rPr>
        <w:t>类）</w:t>
      </w:r>
    </w:p>
    <w:tbl>
      <w:tblPr>
        <w:tblStyle w:val="aa"/>
        <w:tblW w:w="8359" w:type="dxa"/>
        <w:tblLayout w:type="fixed"/>
        <w:tblLook w:val="04A0"/>
      </w:tblPr>
      <w:tblGrid>
        <w:gridCol w:w="2689"/>
        <w:gridCol w:w="2693"/>
        <w:gridCol w:w="2977"/>
      </w:tblGrid>
      <w:tr w:rsidR="009E0CF3" w:rsidRPr="00DB16DD" w:rsidTr="00466446">
        <w:trPr>
          <w:trHeight w:val="20"/>
        </w:trPr>
        <w:tc>
          <w:tcPr>
            <w:tcW w:w="2689" w:type="dxa"/>
            <w:hideMark/>
          </w:tcPr>
          <w:p w:rsidR="009E0CF3" w:rsidRPr="00DB16DD" w:rsidRDefault="009E0CF3" w:rsidP="00466446">
            <w:pPr>
              <w:jc w:val="center"/>
              <w:rPr>
                <w:rFonts w:ascii="Times New Roman" w:hAnsi="Times New Roman" w:cs="Times New Roman"/>
                <w:sz w:val="24"/>
              </w:rPr>
            </w:pPr>
            <w:r w:rsidRPr="00DB16DD">
              <w:rPr>
                <w:rFonts w:ascii="Times New Roman" w:hAnsi="Times New Roman" w:cs="Times New Roman"/>
                <w:sz w:val="24"/>
              </w:rPr>
              <w:t>持有时间（天）</w:t>
            </w:r>
          </w:p>
        </w:tc>
        <w:tc>
          <w:tcPr>
            <w:tcW w:w="2693" w:type="dxa"/>
            <w:hideMark/>
          </w:tcPr>
          <w:p w:rsidR="009E0CF3" w:rsidRPr="00DB16DD" w:rsidRDefault="009E0CF3" w:rsidP="00466446">
            <w:pPr>
              <w:jc w:val="center"/>
              <w:rPr>
                <w:rFonts w:ascii="Times New Roman" w:hAnsi="Times New Roman" w:cs="Times New Roman"/>
                <w:sz w:val="24"/>
              </w:rPr>
            </w:pPr>
            <w:r w:rsidRPr="00DB16DD">
              <w:rPr>
                <w:rFonts w:ascii="Times New Roman" w:hAnsi="Times New Roman" w:cs="Times New Roman"/>
                <w:sz w:val="24"/>
              </w:rPr>
              <w:t>原赎回费率</w:t>
            </w:r>
          </w:p>
        </w:tc>
        <w:tc>
          <w:tcPr>
            <w:tcW w:w="2977" w:type="dxa"/>
            <w:hideMark/>
          </w:tcPr>
          <w:p w:rsidR="009E0CF3" w:rsidRPr="00DB16DD" w:rsidRDefault="009E0CF3" w:rsidP="00466446">
            <w:pPr>
              <w:jc w:val="center"/>
              <w:rPr>
                <w:rFonts w:ascii="Times New Roman" w:hAnsi="Times New Roman" w:cs="Times New Roman"/>
                <w:sz w:val="24"/>
              </w:rPr>
            </w:pPr>
            <w:r w:rsidRPr="00DB16DD">
              <w:rPr>
                <w:rFonts w:ascii="Times New Roman" w:hAnsi="Times New Roman" w:cs="Times New Roman"/>
                <w:sz w:val="24"/>
              </w:rPr>
              <w:t>优惠后赎回费率</w:t>
            </w:r>
          </w:p>
        </w:tc>
      </w:tr>
      <w:tr w:rsidR="009E0CF3" w:rsidRPr="00DB16DD" w:rsidTr="00466446">
        <w:trPr>
          <w:trHeight w:val="20"/>
        </w:trPr>
        <w:tc>
          <w:tcPr>
            <w:tcW w:w="2689" w:type="dxa"/>
            <w:hideMark/>
          </w:tcPr>
          <w:p w:rsidR="009E0CF3" w:rsidRPr="00DB16DD" w:rsidRDefault="009E0CF3" w:rsidP="00466446">
            <w:pPr>
              <w:jc w:val="center"/>
              <w:rPr>
                <w:rFonts w:ascii="Times New Roman" w:hAnsi="Times New Roman" w:cs="Times New Roman"/>
                <w:sz w:val="24"/>
              </w:rPr>
            </w:pPr>
            <w:r w:rsidRPr="00DB16DD">
              <w:rPr>
                <w:rFonts w:ascii="Times New Roman" w:hAnsi="Times New Roman" w:cs="Times New Roman"/>
                <w:sz w:val="24"/>
              </w:rPr>
              <w:t>0-6</w:t>
            </w:r>
          </w:p>
        </w:tc>
        <w:tc>
          <w:tcPr>
            <w:tcW w:w="2693" w:type="dxa"/>
            <w:hideMark/>
          </w:tcPr>
          <w:p w:rsidR="009E0CF3" w:rsidRPr="00DB16DD" w:rsidRDefault="009E0CF3" w:rsidP="00466446">
            <w:pPr>
              <w:jc w:val="center"/>
              <w:rPr>
                <w:rFonts w:ascii="Times New Roman" w:hAnsi="Times New Roman" w:cs="Times New Roman"/>
                <w:sz w:val="24"/>
              </w:rPr>
            </w:pPr>
            <w:r w:rsidRPr="00DB16DD">
              <w:rPr>
                <w:rFonts w:ascii="Times New Roman" w:hAnsi="Times New Roman" w:cs="Times New Roman"/>
                <w:sz w:val="24"/>
              </w:rPr>
              <w:t>1.5%</w:t>
            </w:r>
          </w:p>
        </w:tc>
        <w:tc>
          <w:tcPr>
            <w:tcW w:w="2977" w:type="dxa"/>
            <w:hideMark/>
          </w:tcPr>
          <w:p w:rsidR="009E0CF3" w:rsidRPr="00DB16DD" w:rsidRDefault="009E0CF3" w:rsidP="00466446">
            <w:pPr>
              <w:jc w:val="center"/>
              <w:rPr>
                <w:rFonts w:ascii="Times New Roman" w:hAnsi="Times New Roman" w:cs="Times New Roman"/>
                <w:sz w:val="24"/>
              </w:rPr>
            </w:pPr>
            <w:r w:rsidRPr="00DB16DD">
              <w:rPr>
                <w:rFonts w:ascii="Times New Roman" w:hAnsi="Times New Roman" w:cs="Times New Roman"/>
                <w:sz w:val="24"/>
              </w:rPr>
              <w:t>1.5%</w:t>
            </w:r>
          </w:p>
        </w:tc>
      </w:tr>
      <w:tr w:rsidR="009E0CF3" w:rsidRPr="00DB16DD" w:rsidTr="00466446">
        <w:trPr>
          <w:trHeight w:val="20"/>
        </w:trPr>
        <w:tc>
          <w:tcPr>
            <w:tcW w:w="2689" w:type="dxa"/>
            <w:hideMark/>
          </w:tcPr>
          <w:p w:rsidR="009E0CF3" w:rsidRPr="00DB16DD" w:rsidRDefault="009E0CF3" w:rsidP="009E0CF3">
            <w:pPr>
              <w:jc w:val="center"/>
              <w:rPr>
                <w:rFonts w:ascii="Times New Roman" w:hAnsi="Times New Roman" w:cs="Times New Roman"/>
                <w:sz w:val="24"/>
              </w:rPr>
            </w:pPr>
            <w:r w:rsidRPr="00DB16DD">
              <w:rPr>
                <w:rFonts w:ascii="Times New Roman" w:hAnsi="Times New Roman" w:cs="Times New Roman"/>
                <w:sz w:val="24"/>
              </w:rPr>
              <w:t>7-364</w:t>
            </w:r>
          </w:p>
        </w:tc>
        <w:tc>
          <w:tcPr>
            <w:tcW w:w="2693" w:type="dxa"/>
            <w:hideMark/>
          </w:tcPr>
          <w:p w:rsidR="009E0CF3" w:rsidRPr="00DB16DD" w:rsidRDefault="009E0CF3" w:rsidP="009E0CF3">
            <w:pPr>
              <w:jc w:val="center"/>
              <w:rPr>
                <w:rFonts w:ascii="Times New Roman" w:hAnsi="Times New Roman" w:cs="Times New Roman"/>
                <w:sz w:val="24"/>
              </w:rPr>
            </w:pPr>
            <w:r w:rsidRPr="00DB16DD">
              <w:rPr>
                <w:rFonts w:ascii="Times New Roman" w:hAnsi="Times New Roman" w:cs="Times New Roman"/>
                <w:sz w:val="24"/>
              </w:rPr>
              <w:t>0.1%</w:t>
            </w:r>
          </w:p>
        </w:tc>
        <w:tc>
          <w:tcPr>
            <w:tcW w:w="2977" w:type="dxa"/>
            <w:hideMark/>
          </w:tcPr>
          <w:p w:rsidR="009E0CF3" w:rsidRPr="00DB16DD" w:rsidRDefault="009E0CF3" w:rsidP="009E0CF3">
            <w:pPr>
              <w:jc w:val="center"/>
              <w:rPr>
                <w:rFonts w:ascii="Times New Roman" w:hAnsi="Times New Roman" w:cs="Times New Roman"/>
                <w:sz w:val="24"/>
              </w:rPr>
            </w:pPr>
            <w:r w:rsidRPr="00DB16DD">
              <w:rPr>
                <w:rFonts w:ascii="Times New Roman" w:hAnsi="Times New Roman" w:cs="Times New Roman"/>
                <w:sz w:val="24"/>
              </w:rPr>
              <w:t>0.025%</w:t>
            </w:r>
          </w:p>
        </w:tc>
      </w:tr>
      <w:tr w:rsidR="009E0CF3" w:rsidRPr="00DB16DD" w:rsidTr="00466446">
        <w:trPr>
          <w:trHeight w:val="20"/>
        </w:trPr>
        <w:tc>
          <w:tcPr>
            <w:tcW w:w="2689" w:type="dxa"/>
            <w:hideMark/>
          </w:tcPr>
          <w:p w:rsidR="009E0CF3" w:rsidRPr="00DB16DD" w:rsidRDefault="009E0CF3" w:rsidP="009E0CF3">
            <w:pPr>
              <w:jc w:val="center"/>
              <w:rPr>
                <w:rFonts w:ascii="Times New Roman" w:hAnsi="Times New Roman" w:cs="Times New Roman"/>
                <w:sz w:val="24"/>
              </w:rPr>
            </w:pPr>
            <w:r w:rsidRPr="00DB16DD">
              <w:rPr>
                <w:rFonts w:ascii="Times New Roman" w:hAnsi="Times New Roman" w:cs="Times New Roman"/>
                <w:sz w:val="24"/>
              </w:rPr>
              <w:t>365-729</w:t>
            </w:r>
          </w:p>
        </w:tc>
        <w:tc>
          <w:tcPr>
            <w:tcW w:w="2693" w:type="dxa"/>
            <w:hideMark/>
          </w:tcPr>
          <w:p w:rsidR="009E0CF3" w:rsidRPr="00DB16DD" w:rsidRDefault="009E0CF3" w:rsidP="009E0CF3">
            <w:pPr>
              <w:jc w:val="center"/>
              <w:rPr>
                <w:rFonts w:ascii="Times New Roman" w:hAnsi="Times New Roman" w:cs="Times New Roman"/>
                <w:sz w:val="24"/>
              </w:rPr>
            </w:pPr>
            <w:r w:rsidRPr="00DB16DD">
              <w:rPr>
                <w:rFonts w:ascii="Times New Roman" w:hAnsi="Times New Roman" w:cs="Times New Roman"/>
                <w:sz w:val="24"/>
              </w:rPr>
              <w:t>0.05%</w:t>
            </w:r>
          </w:p>
        </w:tc>
        <w:tc>
          <w:tcPr>
            <w:tcW w:w="2977" w:type="dxa"/>
            <w:hideMark/>
          </w:tcPr>
          <w:p w:rsidR="009E0CF3" w:rsidRPr="00DB16DD" w:rsidRDefault="009E0CF3" w:rsidP="009E0CF3">
            <w:pPr>
              <w:jc w:val="center"/>
              <w:rPr>
                <w:rFonts w:ascii="Times New Roman" w:hAnsi="Times New Roman" w:cs="Times New Roman"/>
                <w:sz w:val="24"/>
              </w:rPr>
            </w:pPr>
            <w:r w:rsidRPr="00DB16DD">
              <w:rPr>
                <w:rFonts w:ascii="Times New Roman" w:hAnsi="Times New Roman" w:cs="Times New Roman"/>
                <w:sz w:val="24"/>
              </w:rPr>
              <w:t>0.0125%</w:t>
            </w:r>
          </w:p>
        </w:tc>
      </w:tr>
      <w:tr w:rsidR="009E0CF3" w:rsidRPr="00DB16DD" w:rsidTr="00466446">
        <w:trPr>
          <w:trHeight w:val="20"/>
        </w:trPr>
        <w:tc>
          <w:tcPr>
            <w:tcW w:w="2689" w:type="dxa"/>
            <w:hideMark/>
          </w:tcPr>
          <w:p w:rsidR="009E0CF3" w:rsidRPr="00DB16DD" w:rsidRDefault="009E0CF3" w:rsidP="009E0CF3">
            <w:pPr>
              <w:jc w:val="center"/>
              <w:rPr>
                <w:rFonts w:ascii="Times New Roman" w:hAnsi="Times New Roman" w:cs="Times New Roman"/>
                <w:sz w:val="24"/>
              </w:rPr>
            </w:pPr>
            <w:r w:rsidRPr="00DB16DD">
              <w:rPr>
                <w:rFonts w:ascii="Times New Roman" w:hAnsi="Times New Roman" w:cs="Times New Roman"/>
                <w:sz w:val="24"/>
              </w:rPr>
              <w:t>730</w:t>
            </w:r>
            <w:r w:rsidRPr="00DB16DD">
              <w:rPr>
                <w:rFonts w:ascii="Times New Roman" w:hAnsi="Times New Roman" w:cs="Times New Roman"/>
                <w:sz w:val="24"/>
              </w:rPr>
              <w:t>及以上</w:t>
            </w:r>
          </w:p>
        </w:tc>
        <w:tc>
          <w:tcPr>
            <w:tcW w:w="2693" w:type="dxa"/>
            <w:hideMark/>
          </w:tcPr>
          <w:p w:rsidR="009E0CF3" w:rsidRPr="00DB16DD" w:rsidRDefault="009E0CF3" w:rsidP="009E0CF3">
            <w:pPr>
              <w:jc w:val="center"/>
              <w:rPr>
                <w:rFonts w:ascii="Times New Roman" w:hAnsi="Times New Roman" w:cs="Times New Roman"/>
                <w:sz w:val="24"/>
              </w:rPr>
            </w:pPr>
            <w:r w:rsidRPr="00DB16DD">
              <w:rPr>
                <w:rFonts w:ascii="Times New Roman" w:hAnsi="Times New Roman" w:cs="Times New Roman"/>
                <w:sz w:val="24"/>
              </w:rPr>
              <w:t>0%</w:t>
            </w:r>
          </w:p>
        </w:tc>
        <w:tc>
          <w:tcPr>
            <w:tcW w:w="2977" w:type="dxa"/>
            <w:hideMark/>
          </w:tcPr>
          <w:p w:rsidR="009E0CF3" w:rsidRPr="00DB16DD" w:rsidRDefault="009E0CF3" w:rsidP="009E0CF3">
            <w:pPr>
              <w:jc w:val="center"/>
              <w:rPr>
                <w:rFonts w:ascii="Times New Roman" w:hAnsi="Times New Roman" w:cs="Times New Roman"/>
                <w:sz w:val="24"/>
              </w:rPr>
            </w:pPr>
            <w:r w:rsidRPr="00DB16DD">
              <w:rPr>
                <w:rFonts w:ascii="Times New Roman" w:hAnsi="Times New Roman" w:cs="Times New Roman"/>
                <w:sz w:val="24"/>
              </w:rPr>
              <w:t>0%</w:t>
            </w:r>
          </w:p>
        </w:tc>
      </w:tr>
    </w:tbl>
    <w:p w:rsidR="009E0CF3" w:rsidRDefault="009E0CF3" w:rsidP="00686E9A">
      <w:pPr>
        <w:spacing w:line="360" w:lineRule="auto"/>
        <w:ind w:firstLine="480"/>
        <w:jc w:val="left"/>
        <w:rPr>
          <w:rFonts w:ascii="Times New Roman" w:hAnsi="Times New Roman" w:cs="Times New Roman"/>
          <w:sz w:val="24"/>
          <w:szCs w:val="24"/>
        </w:rPr>
      </w:pPr>
    </w:p>
    <w:p w:rsidR="00DD1585" w:rsidRDefault="00DD1585" w:rsidP="00DD1585">
      <w:pPr>
        <w:widowControl/>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2</w:t>
      </w:r>
      <w:r>
        <w:rPr>
          <w:rFonts w:ascii="Times New Roman" w:hAnsi="Times New Roman" w:cs="Times New Roman" w:hint="eastAsia"/>
          <w:kern w:val="0"/>
          <w:sz w:val="24"/>
          <w:szCs w:val="24"/>
        </w:rPr>
        <w:t>、优惠活动期间，投资者通过本公司直销中心申请赎回易方达标普</w:t>
      </w:r>
      <w:r>
        <w:rPr>
          <w:rFonts w:ascii="Times New Roman" w:hAnsi="Times New Roman" w:cs="Times New Roman"/>
          <w:kern w:val="0"/>
          <w:sz w:val="24"/>
          <w:szCs w:val="24"/>
        </w:rPr>
        <w:t>500</w:t>
      </w:r>
      <w:r>
        <w:rPr>
          <w:rFonts w:ascii="Times New Roman" w:hAnsi="Times New Roman" w:cs="Times New Roman" w:hint="eastAsia"/>
          <w:kern w:val="0"/>
          <w:sz w:val="24"/>
          <w:szCs w:val="24"/>
        </w:rPr>
        <w:t>指数证券投资基金（</w:t>
      </w:r>
      <w:r>
        <w:rPr>
          <w:rFonts w:ascii="Times New Roman" w:hAnsi="Times New Roman" w:cs="Times New Roman"/>
          <w:kern w:val="0"/>
          <w:sz w:val="24"/>
          <w:szCs w:val="24"/>
        </w:rPr>
        <w:t>LOF</w:t>
      </w:r>
      <w:r>
        <w:rPr>
          <w:rFonts w:ascii="Times New Roman" w:hAnsi="Times New Roman" w:cs="Times New Roman" w:hint="eastAsia"/>
          <w:kern w:val="0"/>
          <w:sz w:val="24"/>
          <w:szCs w:val="24"/>
        </w:rPr>
        <w:t>）场外人民币基金份额，赎回费率享有如下优惠：</w:t>
      </w:r>
    </w:p>
    <w:tbl>
      <w:tblPr>
        <w:tblStyle w:val="aa"/>
        <w:tblW w:w="8370" w:type="dxa"/>
        <w:tblLayout w:type="fixed"/>
        <w:tblLook w:val="04A0"/>
      </w:tblPr>
      <w:tblGrid>
        <w:gridCol w:w="2558"/>
        <w:gridCol w:w="2869"/>
        <w:gridCol w:w="2943"/>
      </w:tblGrid>
      <w:tr w:rsidR="00DD1585" w:rsidTr="00DD1585">
        <w:tc>
          <w:tcPr>
            <w:tcW w:w="2560"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宋体" w:eastAsia="宋体" w:hAnsi="宋体" w:cs="宋体" w:hint="eastAsia"/>
                <w:sz w:val="24"/>
              </w:rPr>
              <w:t>持有时间（天</w:t>
            </w:r>
            <w:r>
              <w:rPr>
                <w:rFonts w:ascii="Times New Roman" w:hAnsi="Times New Roman" w:cs="Times New Roman" w:hint="eastAsia"/>
                <w:sz w:val="24"/>
              </w:rPr>
              <w:t>）</w:t>
            </w:r>
          </w:p>
        </w:tc>
        <w:tc>
          <w:tcPr>
            <w:tcW w:w="2871"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宋体" w:eastAsia="宋体" w:hAnsi="宋体" w:cs="宋体" w:hint="eastAsia"/>
                <w:sz w:val="24"/>
              </w:rPr>
              <w:t>原场外赎回费</w:t>
            </w:r>
            <w:r>
              <w:rPr>
                <w:rFonts w:ascii="Times New Roman" w:hAnsi="Times New Roman" w:cs="Times New Roman" w:hint="eastAsia"/>
                <w:sz w:val="24"/>
              </w:rPr>
              <w:t>率</w:t>
            </w:r>
          </w:p>
        </w:tc>
        <w:tc>
          <w:tcPr>
            <w:tcW w:w="2945"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宋体" w:eastAsia="宋体" w:hAnsi="宋体" w:cs="宋体" w:hint="eastAsia"/>
                <w:sz w:val="24"/>
              </w:rPr>
              <w:t>优惠后场外赎回费</w:t>
            </w:r>
            <w:r>
              <w:rPr>
                <w:rFonts w:ascii="Times New Roman" w:hAnsi="Times New Roman" w:cs="Times New Roman" w:hint="eastAsia"/>
                <w:sz w:val="24"/>
              </w:rPr>
              <w:t>率</w:t>
            </w:r>
          </w:p>
        </w:tc>
      </w:tr>
      <w:tr w:rsidR="00DD1585" w:rsidTr="00DD1585">
        <w:tc>
          <w:tcPr>
            <w:tcW w:w="2560"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Times New Roman" w:hAnsi="Times New Roman" w:cs="Times New Roman"/>
                <w:sz w:val="24"/>
              </w:rPr>
              <w:t>0-6</w:t>
            </w:r>
          </w:p>
        </w:tc>
        <w:tc>
          <w:tcPr>
            <w:tcW w:w="2871"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Times New Roman" w:hAnsi="Times New Roman" w:cs="Times New Roman"/>
                <w:sz w:val="24"/>
              </w:rPr>
              <w:t xml:space="preserve">1.50% </w:t>
            </w:r>
          </w:p>
        </w:tc>
        <w:tc>
          <w:tcPr>
            <w:tcW w:w="2945"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Times New Roman" w:hAnsi="Times New Roman" w:cs="Times New Roman"/>
                <w:sz w:val="24"/>
              </w:rPr>
              <w:t xml:space="preserve">1.50% </w:t>
            </w:r>
          </w:p>
        </w:tc>
      </w:tr>
      <w:tr w:rsidR="00DD1585" w:rsidTr="00DD1585">
        <w:tc>
          <w:tcPr>
            <w:tcW w:w="2560"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Times New Roman" w:hAnsi="Times New Roman" w:cs="Times New Roman"/>
                <w:sz w:val="24"/>
              </w:rPr>
              <w:t>7-364</w:t>
            </w:r>
          </w:p>
        </w:tc>
        <w:tc>
          <w:tcPr>
            <w:tcW w:w="2871"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Times New Roman" w:hAnsi="Times New Roman" w:cs="Times New Roman"/>
                <w:sz w:val="24"/>
              </w:rPr>
              <w:t xml:space="preserve">0.50% </w:t>
            </w:r>
          </w:p>
        </w:tc>
        <w:tc>
          <w:tcPr>
            <w:tcW w:w="2945"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Times New Roman" w:hAnsi="Times New Roman" w:cs="Times New Roman"/>
                <w:sz w:val="24"/>
              </w:rPr>
              <w:t xml:space="preserve">0.125% </w:t>
            </w:r>
          </w:p>
        </w:tc>
      </w:tr>
      <w:tr w:rsidR="00DD1585" w:rsidTr="00DD1585">
        <w:tc>
          <w:tcPr>
            <w:tcW w:w="2560"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Times New Roman" w:hAnsi="Times New Roman" w:cs="Times New Roman"/>
                <w:sz w:val="24"/>
              </w:rPr>
              <w:t>365-729</w:t>
            </w:r>
          </w:p>
        </w:tc>
        <w:tc>
          <w:tcPr>
            <w:tcW w:w="2871"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Times New Roman" w:hAnsi="Times New Roman" w:cs="Times New Roman"/>
                <w:sz w:val="24"/>
              </w:rPr>
              <w:t xml:space="preserve">0.25% </w:t>
            </w:r>
          </w:p>
        </w:tc>
        <w:tc>
          <w:tcPr>
            <w:tcW w:w="2945"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Times New Roman" w:hAnsi="Times New Roman" w:cs="Times New Roman"/>
                <w:sz w:val="24"/>
              </w:rPr>
              <w:t xml:space="preserve">0.0625% </w:t>
            </w:r>
          </w:p>
        </w:tc>
      </w:tr>
      <w:tr w:rsidR="00DD1585" w:rsidTr="00DD1585">
        <w:tc>
          <w:tcPr>
            <w:tcW w:w="2560"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Times New Roman" w:hAnsi="Times New Roman" w:cs="Times New Roman"/>
                <w:sz w:val="24"/>
              </w:rPr>
              <w:t>730</w:t>
            </w:r>
            <w:r>
              <w:rPr>
                <w:rFonts w:ascii="宋体" w:eastAsia="宋体" w:hAnsi="宋体" w:cs="宋体" w:hint="eastAsia"/>
                <w:sz w:val="24"/>
              </w:rPr>
              <w:t>及以</w:t>
            </w:r>
            <w:r>
              <w:rPr>
                <w:rFonts w:ascii="Times New Roman" w:hAnsi="Times New Roman" w:cs="Times New Roman" w:hint="eastAsia"/>
                <w:sz w:val="24"/>
              </w:rPr>
              <w:t>上</w:t>
            </w:r>
          </w:p>
        </w:tc>
        <w:tc>
          <w:tcPr>
            <w:tcW w:w="2871"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Times New Roman" w:hAnsi="Times New Roman" w:cs="Times New Roman"/>
                <w:sz w:val="24"/>
              </w:rPr>
              <w:t xml:space="preserve">0% </w:t>
            </w:r>
          </w:p>
        </w:tc>
        <w:tc>
          <w:tcPr>
            <w:tcW w:w="2945" w:type="dxa"/>
            <w:tcBorders>
              <w:top w:val="single" w:sz="4" w:space="0" w:color="auto"/>
              <w:left w:val="single" w:sz="4" w:space="0" w:color="auto"/>
              <w:bottom w:val="single" w:sz="4" w:space="0" w:color="auto"/>
              <w:right w:val="single" w:sz="4" w:space="0" w:color="auto"/>
            </w:tcBorders>
            <w:hideMark/>
          </w:tcPr>
          <w:p w:rsidR="00DD1585" w:rsidRDefault="00DD1585">
            <w:pPr>
              <w:jc w:val="center"/>
              <w:rPr>
                <w:rFonts w:ascii="Times New Roman" w:hAnsi="Times New Roman" w:cs="Times New Roman"/>
                <w:sz w:val="24"/>
              </w:rPr>
            </w:pPr>
            <w:r>
              <w:rPr>
                <w:rFonts w:ascii="Times New Roman" w:hAnsi="Times New Roman" w:cs="Times New Roman"/>
                <w:sz w:val="24"/>
              </w:rPr>
              <w:t xml:space="preserve">0% </w:t>
            </w:r>
          </w:p>
        </w:tc>
      </w:tr>
    </w:tbl>
    <w:p w:rsidR="00DD1585" w:rsidRPr="00EB4744" w:rsidRDefault="00DD1585" w:rsidP="00686E9A">
      <w:pPr>
        <w:spacing w:line="360" w:lineRule="auto"/>
        <w:ind w:firstLine="480"/>
        <w:jc w:val="left"/>
        <w:rPr>
          <w:rFonts w:ascii="Times New Roman" w:hAnsi="Times New Roman" w:cs="Times New Roman"/>
          <w:sz w:val="24"/>
          <w:szCs w:val="24"/>
        </w:rPr>
      </w:pPr>
    </w:p>
    <w:p w:rsidR="00686E9A" w:rsidRPr="00DB16DD" w:rsidRDefault="00DD1585" w:rsidP="00686E9A">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w:t>
      </w:r>
      <w:r w:rsidR="00686E9A" w:rsidRPr="00DB16DD">
        <w:rPr>
          <w:rFonts w:ascii="Times New Roman" w:hAnsi="Times New Roman" w:cs="Times New Roman"/>
          <w:sz w:val="24"/>
          <w:szCs w:val="24"/>
        </w:rPr>
        <w:t>上述优惠后的赎回费用将</w:t>
      </w:r>
      <w:r w:rsidR="00686E9A" w:rsidRPr="00DB16DD">
        <w:rPr>
          <w:rFonts w:ascii="Times New Roman" w:hAnsi="Times New Roman" w:cs="Times New Roman"/>
          <w:sz w:val="24"/>
          <w:szCs w:val="24"/>
        </w:rPr>
        <w:t>100%</w:t>
      </w:r>
      <w:r w:rsidR="00686E9A" w:rsidRPr="00DB16DD">
        <w:rPr>
          <w:rFonts w:ascii="Times New Roman" w:hAnsi="Times New Roman" w:cs="Times New Roman"/>
          <w:sz w:val="24"/>
          <w:szCs w:val="24"/>
        </w:rPr>
        <w:t>归入基金资产，此次费率优惠不会对基金份额持有人利益造成不利影响。</w:t>
      </w:r>
    </w:p>
    <w:p w:rsidR="00686E9A" w:rsidRPr="00DB16DD" w:rsidRDefault="00686E9A" w:rsidP="00686E9A">
      <w:pPr>
        <w:widowControl/>
        <w:spacing w:line="360" w:lineRule="auto"/>
        <w:jc w:val="left"/>
        <w:rPr>
          <w:rFonts w:ascii="Times New Roman" w:hAnsi="Times New Roman" w:cs="Times New Roman"/>
          <w:kern w:val="0"/>
          <w:sz w:val="24"/>
          <w:szCs w:val="24"/>
        </w:rPr>
      </w:pPr>
    </w:p>
    <w:p w:rsidR="00686E9A" w:rsidRPr="00DB16DD" w:rsidRDefault="00686E9A" w:rsidP="00686E9A">
      <w:pPr>
        <w:spacing w:line="360" w:lineRule="auto"/>
        <w:ind w:firstLine="480"/>
        <w:jc w:val="left"/>
        <w:outlineLvl w:val="0"/>
        <w:rPr>
          <w:rFonts w:ascii="Times New Roman" w:hAnsi="Times New Roman" w:cs="Times New Roman"/>
          <w:b/>
          <w:sz w:val="24"/>
          <w:szCs w:val="24"/>
        </w:rPr>
      </w:pPr>
      <w:r w:rsidRPr="00DB16DD">
        <w:rPr>
          <w:rFonts w:ascii="Times New Roman" w:hAnsi="Times New Roman" w:cs="Times New Roman"/>
          <w:b/>
          <w:sz w:val="24"/>
          <w:szCs w:val="24"/>
        </w:rPr>
        <w:t>四、重要提示</w:t>
      </w:r>
    </w:p>
    <w:p w:rsidR="00686E9A" w:rsidRPr="00DB16DD" w:rsidRDefault="009D5E28" w:rsidP="00D44005">
      <w:pPr>
        <w:spacing w:line="360" w:lineRule="auto"/>
        <w:ind w:firstLine="480"/>
        <w:jc w:val="left"/>
        <w:rPr>
          <w:rFonts w:ascii="Times New Roman" w:hAnsi="Times New Roman" w:cs="Times New Roman"/>
          <w:sz w:val="24"/>
          <w:szCs w:val="24"/>
        </w:rPr>
      </w:pPr>
      <w:r w:rsidRPr="00DB16DD">
        <w:rPr>
          <w:rFonts w:ascii="Times New Roman" w:hAnsi="Times New Roman" w:cs="Times New Roman"/>
          <w:sz w:val="24"/>
          <w:szCs w:val="24"/>
        </w:rPr>
        <w:t>（</w:t>
      </w:r>
      <w:r w:rsidR="00686E9A" w:rsidRPr="00DB16DD">
        <w:rPr>
          <w:rFonts w:ascii="Times New Roman" w:hAnsi="Times New Roman" w:cs="Times New Roman"/>
          <w:sz w:val="24"/>
          <w:szCs w:val="24"/>
        </w:rPr>
        <w:t>1</w:t>
      </w:r>
      <w:r w:rsidRPr="00DB16DD">
        <w:rPr>
          <w:rFonts w:ascii="Times New Roman" w:hAnsi="Times New Roman" w:cs="Times New Roman"/>
          <w:sz w:val="24"/>
          <w:szCs w:val="24"/>
        </w:rPr>
        <w:t>）</w:t>
      </w:r>
      <w:r w:rsidR="00686E9A" w:rsidRPr="00DB16DD">
        <w:rPr>
          <w:rFonts w:ascii="Times New Roman" w:hAnsi="Times New Roman" w:cs="Times New Roman"/>
          <w:sz w:val="24"/>
          <w:szCs w:val="24"/>
        </w:rPr>
        <w:t>本公告的最终解释权归易方达基金管理有限公司所有。</w:t>
      </w:r>
    </w:p>
    <w:p w:rsidR="00686E9A" w:rsidRPr="00DB16DD" w:rsidRDefault="009D5E28" w:rsidP="003B3347">
      <w:pPr>
        <w:spacing w:line="360" w:lineRule="auto"/>
        <w:ind w:firstLine="480"/>
        <w:jc w:val="left"/>
        <w:rPr>
          <w:rFonts w:ascii="Times New Roman" w:hAnsi="Times New Roman" w:cs="Times New Roman"/>
          <w:sz w:val="24"/>
          <w:szCs w:val="24"/>
        </w:rPr>
      </w:pPr>
      <w:r w:rsidRPr="00DB16DD">
        <w:rPr>
          <w:rFonts w:ascii="Times New Roman" w:hAnsi="Times New Roman" w:cs="Times New Roman"/>
          <w:sz w:val="24"/>
          <w:szCs w:val="24"/>
        </w:rPr>
        <w:t>（</w:t>
      </w:r>
      <w:r w:rsidR="00D44005" w:rsidRPr="00DB16DD">
        <w:rPr>
          <w:rFonts w:ascii="Times New Roman" w:hAnsi="Times New Roman" w:cs="Times New Roman"/>
          <w:sz w:val="24"/>
          <w:szCs w:val="24"/>
        </w:rPr>
        <w:t>2</w:t>
      </w:r>
      <w:r w:rsidRPr="00DB16DD">
        <w:rPr>
          <w:rFonts w:ascii="Times New Roman" w:hAnsi="Times New Roman" w:cs="Times New Roman"/>
          <w:sz w:val="24"/>
          <w:szCs w:val="24"/>
        </w:rPr>
        <w:t>）</w:t>
      </w:r>
      <w:r w:rsidR="00686E9A" w:rsidRPr="00DB16DD">
        <w:rPr>
          <w:rFonts w:ascii="Times New Roman" w:hAnsi="Times New Roman" w:cs="Times New Roman"/>
          <w:sz w:val="24"/>
          <w:szCs w:val="24"/>
        </w:rPr>
        <w:t>易方达基金管理有限公司客户服务电话：</w:t>
      </w:r>
      <w:r w:rsidR="00686E9A" w:rsidRPr="00DB16DD">
        <w:rPr>
          <w:rFonts w:ascii="Times New Roman" w:hAnsi="Times New Roman" w:cs="Times New Roman"/>
          <w:sz w:val="24"/>
          <w:szCs w:val="24"/>
        </w:rPr>
        <w:t>400-881-8088</w:t>
      </w:r>
      <w:r w:rsidR="00686E9A" w:rsidRPr="00DB16DD">
        <w:rPr>
          <w:rFonts w:ascii="Times New Roman" w:hAnsi="Times New Roman" w:cs="Times New Roman"/>
          <w:sz w:val="24"/>
          <w:szCs w:val="24"/>
        </w:rPr>
        <w:t>，网址：</w:t>
      </w:r>
      <w:hyperlink r:id="rId8" w:history="1">
        <w:r w:rsidR="00DB16DD" w:rsidRPr="00E6237F">
          <w:rPr>
            <w:rStyle w:val="a6"/>
            <w:rFonts w:ascii="Times New Roman" w:hAnsi="Times New Roman" w:cs="Times New Roman" w:hint="eastAsia"/>
            <w:sz w:val="24"/>
            <w:szCs w:val="24"/>
          </w:rPr>
          <w:t>www.efunds.com.cn</w:t>
        </w:r>
      </w:hyperlink>
      <w:r w:rsidR="00DB16DD">
        <w:rPr>
          <w:rFonts w:ascii="Times New Roman" w:hAnsi="Times New Roman" w:cs="Times New Roman"/>
          <w:sz w:val="24"/>
          <w:szCs w:val="24"/>
        </w:rPr>
        <w:t xml:space="preserve"> </w:t>
      </w:r>
      <w:r w:rsidR="00DB16DD">
        <w:rPr>
          <w:rFonts w:ascii="Times New Roman" w:hAnsi="Times New Roman" w:cs="Times New Roman"/>
          <w:sz w:val="24"/>
          <w:szCs w:val="24"/>
        </w:rPr>
        <w:t>。</w:t>
      </w:r>
    </w:p>
    <w:p w:rsidR="00686E9A" w:rsidRPr="00DB16DD" w:rsidRDefault="009D5E28" w:rsidP="00066183">
      <w:pPr>
        <w:spacing w:line="360" w:lineRule="auto"/>
        <w:ind w:firstLine="480"/>
        <w:jc w:val="left"/>
        <w:rPr>
          <w:rFonts w:ascii="Times New Roman" w:hAnsi="Times New Roman" w:cs="Times New Roman"/>
          <w:sz w:val="24"/>
          <w:szCs w:val="24"/>
        </w:rPr>
      </w:pPr>
      <w:r w:rsidRPr="00DB16DD">
        <w:rPr>
          <w:rFonts w:ascii="Times New Roman" w:hAnsi="Times New Roman" w:cs="Times New Roman"/>
          <w:sz w:val="24"/>
          <w:szCs w:val="24"/>
        </w:rPr>
        <w:t>（</w:t>
      </w:r>
      <w:r w:rsidR="00D44005" w:rsidRPr="00DB16DD">
        <w:rPr>
          <w:rFonts w:ascii="Times New Roman" w:hAnsi="Times New Roman" w:cs="Times New Roman"/>
          <w:sz w:val="24"/>
          <w:szCs w:val="24"/>
        </w:rPr>
        <w:t>3</w:t>
      </w:r>
      <w:r w:rsidRPr="00DB16DD">
        <w:rPr>
          <w:rFonts w:ascii="Times New Roman" w:hAnsi="Times New Roman" w:cs="Times New Roman"/>
          <w:sz w:val="24"/>
          <w:szCs w:val="24"/>
        </w:rPr>
        <w:t>）</w:t>
      </w:r>
      <w:r w:rsidR="00686E9A" w:rsidRPr="00DB16DD">
        <w:rPr>
          <w:rFonts w:ascii="Times New Roman" w:hAnsi="Times New Roman" w:cs="Times New Roman"/>
          <w:sz w:val="24"/>
          <w:szCs w:val="24"/>
        </w:rPr>
        <w:t>风险提示</w:t>
      </w:r>
    </w:p>
    <w:p w:rsidR="00686E9A" w:rsidRPr="00DB16DD" w:rsidRDefault="00662339" w:rsidP="0002549A">
      <w:pPr>
        <w:spacing w:line="360" w:lineRule="auto"/>
        <w:ind w:firstLine="480"/>
        <w:jc w:val="left"/>
        <w:rPr>
          <w:rFonts w:ascii="Times New Roman" w:hAnsi="Times New Roman" w:cs="Times New Roman"/>
          <w:sz w:val="24"/>
          <w:szCs w:val="24"/>
        </w:rPr>
      </w:pPr>
      <w:r w:rsidRPr="00DB16DD">
        <w:rPr>
          <w:rFonts w:ascii="Times New Roman" w:hAnsi="Times New Roman" w:cs="Times New Roman"/>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w:t>
      </w:r>
      <w:r w:rsidR="0002549A">
        <w:rPr>
          <w:rFonts w:ascii="宋体" w:eastAsia="宋体" w:cs="宋体" w:hint="eastAsia"/>
          <w:kern w:val="0"/>
          <w:sz w:val="24"/>
          <w:szCs w:val="24"/>
        </w:rPr>
        <w:t>基金合同、招募说明书（更新）和基金产品资料概要（更新）</w:t>
      </w:r>
      <w:r w:rsidRPr="00DB16DD">
        <w:rPr>
          <w:rFonts w:ascii="Times New Roman" w:hAnsi="Times New Roman" w:cs="Times New Roman"/>
          <w:sz w:val="24"/>
          <w:szCs w:val="24"/>
        </w:rPr>
        <w:t>等基金法律文件，全面认识基金产品的风险收益特征，在了解产品情况及听取销售机构适当性意见的基础上，根据自身的风险承受能力、投资期限和投资目标，对基金投资作出独立决策，选择合适的基金产品。</w:t>
      </w:r>
      <w:r w:rsidR="0002549A" w:rsidRPr="0002549A">
        <w:rPr>
          <w:rFonts w:ascii="Times New Roman" w:hAnsi="Times New Roman" w:cs="Times New Roman" w:hint="eastAsia"/>
          <w:sz w:val="24"/>
          <w:szCs w:val="24"/>
        </w:rPr>
        <w:t>基金管理人提醒投资者基金投资的“买者自负”原则，在投资者作出投资决策后，基金运营状况与基金净值变化引致的投资风险，由投资者自行负责。</w:t>
      </w:r>
    </w:p>
    <w:p w:rsidR="00686E9A" w:rsidRPr="00DB16DD" w:rsidRDefault="00686E9A" w:rsidP="00686E9A">
      <w:pPr>
        <w:spacing w:line="360" w:lineRule="auto"/>
        <w:ind w:firstLine="480"/>
        <w:jc w:val="left"/>
        <w:rPr>
          <w:rFonts w:ascii="Times New Roman" w:hAnsi="Times New Roman" w:cs="Times New Roman"/>
          <w:sz w:val="24"/>
          <w:szCs w:val="24"/>
        </w:rPr>
      </w:pPr>
      <w:r w:rsidRPr="00DB16DD">
        <w:rPr>
          <w:rFonts w:ascii="Times New Roman" w:hAnsi="Times New Roman" w:cs="Times New Roman"/>
          <w:sz w:val="24"/>
          <w:szCs w:val="24"/>
        </w:rPr>
        <w:t>特此公告。</w:t>
      </w:r>
    </w:p>
    <w:p w:rsidR="00686E9A" w:rsidRPr="00DB16DD" w:rsidRDefault="00686E9A" w:rsidP="00686E9A">
      <w:pPr>
        <w:spacing w:line="360" w:lineRule="auto"/>
        <w:ind w:firstLine="480"/>
        <w:jc w:val="left"/>
        <w:rPr>
          <w:rFonts w:ascii="Times New Roman" w:hAnsi="Times New Roman" w:cs="Times New Roman"/>
          <w:sz w:val="24"/>
          <w:szCs w:val="24"/>
        </w:rPr>
      </w:pPr>
    </w:p>
    <w:p w:rsidR="00686E9A" w:rsidRPr="00DB16DD" w:rsidRDefault="00686E9A" w:rsidP="00686E9A">
      <w:pPr>
        <w:spacing w:line="360" w:lineRule="auto"/>
        <w:ind w:firstLine="3600"/>
        <w:jc w:val="right"/>
        <w:rPr>
          <w:rFonts w:ascii="Times New Roman" w:hAnsi="Times New Roman" w:cs="Times New Roman"/>
          <w:sz w:val="24"/>
          <w:szCs w:val="24"/>
        </w:rPr>
      </w:pPr>
      <w:r w:rsidRPr="00DB16DD">
        <w:rPr>
          <w:rFonts w:ascii="Times New Roman" w:hAnsi="Times New Roman" w:cs="Times New Roman"/>
          <w:sz w:val="24"/>
          <w:szCs w:val="24"/>
        </w:rPr>
        <w:t>易方达基金管理有限公司</w:t>
      </w:r>
    </w:p>
    <w:p w:rsidR="00C32864" w:rsidRPr="00DB16DD" w:rsidRDefault="00662339" w:rsidP="00081889">
      <w:pPr>
        <w:spacing w:line="360" w:lineRule="auto"/>
        <w:ind w:right="210" w:firstLine="3600"/>
        <w:jc w:val="right"/>
        <w:rPr>
          <w:rFonts w:ascii="Times New Roman" w:hAnsi="Times New Roman" w:cs="Times New Roman"/>
          <w:sz w:val="24"/>
          <w:szCs w:val="24"/>
        </w:rPr>
      </w:pPr>
      <w:r w:rsidRPr="00DB16DD">
        <w:rPr>
          <w:rFonts w:ascii="Times New Roman" w:hAnsi="Times New Roman" w:cs="Times New Roman"/>
          <w:sz w:val="24"/>
          <w:szCs w:val="24"/>
        </w:rPr>
        <w:t>20</w:t>
      </w:r>
      <w:r w:rsidR="0002549A">
        <w:rPr>
          <w:rFonts w:ascii="Times New Roman" w:hAnsi="Times New Roman" w:cs="Times New Roman"/>
          <w:sz w:val="24"/>
          <w:szCs w:val="24"/>
        </w:rPr>
        <w:t>20</w:t>
      </w:r>
      <w:r w:rsidR="00C331BC" w:rsidRPr="00DB16DD">
        <w:rPr>
          <w:rFonts w:ascii="Times New Roman" w:hAnsi="Times New Roman" w:cs="Times New Roman"/>
          <w:sz w:val="24"/>
          <w:szCs w:val="24"/>
        </w:rPr>
        <w:t>年</w:t>
      </w:r>
      <w:r w:rsidR="003B3347" w:rsidRPr="00DB16DD">
        <w:rPr>
          <w:rFonts w:ascii="Times New Roman" w:hAnsi="Times New Roman" w:cs="Times New Roman"/>
          <w:sz w:val="24"/>
          <w:szCs w:val="24"/>
        </w:rPr>
        <w:t>9</w:t>
      </w:r>
      <w:r w:rsidR="00C331BC" w:rsidRPr="00DB16DD">
        <w:rPr>
          <w:rFonts w:ascii="Times New Roman" w:hAnsi="Times New Roman" w:cs="Times New Roman"/>
          <w:sz w:val="24"/>
          <w:szCs w:val="24"/>
        </w:rPr>
        <w:t>月</w:t>
      </w:r>
      <w:r w:rsidR="008E7899">
        <w:rPr>
          <w:rFonts w:ascii="Times New Roman" w:hAnsi="Times New Roman" w:cs="Times New Roman"/>
          <w:sz w:val="24"/>
          <w:szCs w:val="24"/>
        </w:rPr>
        <w:t>25</w:t>
      </w:r>
      <w:r w:rsidR="00686E9A" w:rsidRPr="00DB16DD">
        <w:rPr>
          <w:rFonts w:ascii="Times New Roman" w:hAnsi="Times New Roman" w:cs="Times New Roman"/>
          <w:sz w:val="24"/>
          <w:szCs w:val="24"/>
        </w:rPr>
        <w:t>日</w:t>
      </w:r>
    </w:p>
    <w:sectPr w:rsidR="00C32864" w:rsidRPr="00DB16DD" w:rsidSect="005A6D02">
      <w:pgSz w:w="11906" w:h="16838"/>
      <w:pgMar w:top="1440" w:right="1797" w:bottom="1361" w:left="1797"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D5E" w:rsidRDefault="00EA3D5E" w:rsidP="0001248D">
      <w:r>
        <w:separator/>
      </w:r>
    </w:p>
  </w:endnote>
  <w:endnote w:type="continuationSeparator" w:id="0">
    <w:p w:rsidR="00EA3D5E" w:rsidRDefault="00EA3D5E" w:rsidP="000124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D5E" w:rsidRDefault="00EA3D5E" w:rsidP="0001248D">
      <w:r>
        <w:separator/>
      </w:r>
    </w:p>
  </w:footnote>
  <w:footnote w:type="continuationSeparator" w:id="0">
    <w:p w:rsidR="00EA3D5E" w:rsidRDefault="00EA3D5E" w:rsidP="000124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248D"/>
    <w:rsid w:val="0001248D"/>
    <w:rsid w:val="0002549A"/>
    <w:rsid w:val="00063F21"/>
    <w:rsid w:val="00066183"/>
    <w:rsid w:val="000757CC"/>
    <w:rsid w:val="00081889"/>
    <w:rsid w:val="000D2132"/>
    <w:rsid w:val="000D298D"/>
    <w:rsid w:val="000D2D81"/>
    <w:rsid w:val="000E7F18"/>
    <w:rsid w:val="001526A1"/>
    <w:rsid w:val="00156332"/>
    <w:rsid w:val="001742A0"/>
    <w:rsid w:val="001812B4"/>
    <w:rsid w:val="001A40ED"/>
    <w:rsid w:val="001A4904"/>
    <w:rsid w:val="001C051F"/>
    <w:rsid w:val="001C5D2A"/>
    <w:rsid w:val="001C6EFA"/>
    <w:rsid w:val="001F170F"/>
    <w:rsid w:val="00232F48"/>
    <w:rsid w:val="002536DD"/>
    <w:rsid w:val="002576D8"/>
    <w:rsid w:val="002751AE"/>
    <w:rsid w:val="00281CC7"/>
    <w:rsid w:val="002B0BF7"/>
    <w:rsid w:val="002F0390"/>
    <w:rsid w:val="00324536"/>
    <w:rsid w:val="0035140D"/>
    <w:rsid w:val="00366569"/>
    <w:rsid w:val="00370FB3"/>
    <w:rsid w:val="00371267"/>
    <w:rsid w:val="00381B4B"/>
    <w:rsid w:val="003B3347"/>
    <w:rsid w:val="003B5B08"/>
    <w:rsid w:val="003E2D6D"/>
    <w:rsid w:val="003F049A"/>
    <w:rsid w:val="003F4879"/>
    <w:rsid w:val="004241A1"/>
    <w:rsid w:val="004350D2"/>
    <w:rsid w:val="00447891"/>
    <w:rsid w:val="00453BC3"/>
    <w:rsid w:val="004610EC"/>
    <w:rsid w:val="004766F0"/>
    <w:rsid w:val="00476DA4"/>
    <w:rsid w:val="0048565A"/>
    <w:rsid w:val="004B3324"/>
    <w:rsid w:val="004B4EC8"/>
    <w:rsid w:val="004C2660"/>
    <w:rsid w:val="004D3440"/>
    <w:rsid w:val="004F09F6"/>
    <w:rsid w:val="004F5441"/>
    <w:rsid w:val="00505148"/>
    <w:rsid w:val="005168CD"/>
    <w:rsid w:val="00553DCC"/>
    <w:rsid w:val="00562B4E"/>
    <w:rsid w:val="005A14FB"/>
    <w:rsid w:val="005A2C28"/>
    <w:rsid w:val="005A6D02"/>
    <w:rsid w:val="005C15D1"/>
    <w:rsid w:val="005E3E0F"/>
    <w:rsid w:val="005F5987"/>
    <w:rsid w:val="005F7A1C"/>
    <w:rsid w:val="006256D4"/>
    <w:rsid w:val="00662339"/>
    <w:rsid w:val="00664131"/>
    <w:rsid w:val="00665262"/>
    <w:rsid w:val="00671CFF"/>
    <w:rsid w:val="00686E9A"/>
    <w:rsid w:val="006877EF"/>
    <w:rsid w:val="006A0E3B"/>
    <w:rsid w:val="006E3164"/>
    <w:rsid w:val="006F0226"/>
    <w:rsid w:val="007247EB"/>
    <w:rsid w:val="00731357"/>
    <w:rsid w:val="007358AB"/>
    <w:rsid w:val="00744C18"/>
    <w:rsid w:val="00754B10"/>
    <w:rsid w:val="0076043E"/>
    <w:rsid w:val="00763DDA"/>
    <w:rsid w:val="00771422"/>
    <w:rsid w:val="00774C10"/>
    <w:rsid w:val="00785D40"/>
    <w:rsid w:val="007A4E94"/>
    <w:rsid w:val="007B5193"/>
    <w:rsid w:val="007B6DCA"/>
    <w:rsid w:val="007D32D2"/>
    <w:rsid w:val="007D4AC4"/>
    <w:rsid w:val="007D4F53"/>
    <w:rsid w:val="008035F2"/>
    <w:rsid w:val="00803850"/>
    <w:rsid w:val="008049F6"/>
    <w:rsid w:val="008155FE"/>
    <w:rsid w:val="00832604"/>
    <w:rsid w:val="008760F3"/>
    <w:rsid w:val="008A23D2"/>
    <w:rsid w:val="008C0949"/>
    <w:rsid w:val="008C3B4A"/>
    <w:rsid w:val="008D4D5F"/>
    <w:rsid w:val="008E6C98"/>
    <w:rsid w:val="008E7899"/>
    <w:rsid w:val="00905630"/>
    <w:rsid w:val="00912FB7"/>
    <w:rsid w:val="00940855"/>
    <w:rsid w:val="009564BF"/>
    <w:rsid w:val="00980EF8"/>
    <w:rsid w:val="00992AC9"/>
    <w:rsid w:val="009B2FBD"/>
    <w:rsid w:val="009B4D32"/>
    <w:rsid w:val="009B5787"/>
    <w:rsid w:val="009C1EAB"/>
    <w:rsid w:val="009D5E28"/>
    <w:rsid w:val="009E0716"/>
    <w:rsid w:val="009E0CF3"/>
    <w:rsid w:val="009E5F44"/>
    <w:rsid w:val="00A20C32"/>
    <w:rsid w:val="00A2161D"/>
    <w:rsid w:val="00A545F9"/>
    <w:rsid w:val="00A60BB8"/>
    <w:rsid w:val="00A67FEB"/>
    <w:rsid w:val="00A76D25"/>
    <w:rsid w:val="00AA2D41"/>
    <w:rsid w:val="00AB4FBA"/>
    <w:rsid w:val="00AC077E"/>
    <w:rsid w:val="00B1448E"/>
    <w:rsid w:val="00B20A6C"/>
    <w:rsid w:val="00B23C04"/>
    <w:rsid w:val="00B41F50"/>
    <w:rsid w:val="00B4743F"/>
    <w:rsid w:val="00B523F5"/>
    <w:rsid w:val="00B57A04"/>
    <w:rsid w:val="00B72330"/>
    <w:rsid w:val="00B876C4"/>
    <w:rsid w:val="00BA421A"/>
    <w:rsid w:val="00BD77A4"/>
    <w:rsid w:val="00BE6056"/>
    <w:rsid w:val="00BE63BE"/>
    <w:rsid w:val="00C32864"/>
    <w:rsid w:val="00C331BC"/>
    <w:rsid w:val="00C44029"/>
    <w:rsid w:val="00C50BE4"/>
    <w:rsid w:val="00C510B3"/>
    <w:rsid w:val="00C56357"/>
    <w:rsid w:val="00C7127A"/>
    <w:rsid w:val="00C85A94"/>
    <w:rsid w:val="00C97251"/>
    <w:rsid w:val="00CA3DF5"/>
    <w:rsid w:val="00D15CB8"/>
    <w:rsid w:val="00D16EAD"/>
    <w:rsid w:val="00D37767"/>
    <w:rsid w:val="00D44005"/>
    <w:rsid w:val="00D62A82"/>
    <w:rsid w:val="00D77B71"/>
    <w:rsid w:val="00D93508"/>
    <w:rsid w:val="00DA7FE6"/>
    <w:rsid w:val="00DB16DD"/>
    <w:rsid w:val="00DC429E"/>
    <w:rsid w:val="00DD1585"/>
    <w:rsid w:val="00DE7F05"/>
    <w:rsid w:val="00E379ED"/>
    <w:rsid w:val="00E53AB3"/>
    <w:rsid w:val="00E66599"/>
    <w:rsid w:val="00E715F0"/>
    <w:rsid w:val="00E75493"/>
    <w:rsid w:val="00E83891"/>
    <w:rsid w:val="00E9597C"/>
    <w:rsid w:val="00EA3D5E"/>
    <w:rsid w:val="00EA5C07"/>
    <w:rsid w:val="00EA5D94"/>
    <w:rsid w:val="00EB4744"/>
    <w:rsid w:val="00EB4E00"/>
    <w:rsid w:val="00ED50F3"/>
    <w:rsid w:val="00EF049E"/>
    <w:rsid w:val="00F0098C"/>
    <w:rsid w:val="00F246F6"/>
    <w:rsid w:val="00F40A01"/>
    <w:rsid w:val="00F44F46"/>
    <w:rsid w:val="00F739F4"/>
    <w:rsid w:val="00F87FFA"/>
    <w:rsid w:val="00F94062"/>
    <w:rsid w:val="00FA5C3E"/>
    <w:rsid w:val="00FC7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4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48D"/>
    <w:rPr>
      <w:sz w:val="18"/>
      <w:szCs w:val="18"/>
    </w:rPr>
  </w:style>
  <w:style w:type="paragraph" w:styleId="a4">
    <w:name w:val="footer"/>
    <w:basedOn w:val="a"/>
    <w:link w:val="Char0"/>
    <w:uiPriority w:val="99"/>
    <w:unhideWhenUsed/>
    <w:rsid w:val="0001248D"/>
    <w:pPr>
      <w:tabs>
        <w:tab w:val="center" w:pos="4153"/>
        <w:tab w:val="right" w:pos="8306"/>
      </w:tabs>
      <w:snapToGrid w:val="0"/>
      <w:jc w:val="left"/>
    </w:pPr>
    <w:rPr>
      <w:sz w:val="18"/>
      <w:szCs w:val="18"/>
    </w:rPr>
  </w:style>
  <w:style w:type="character" w:customStyle="1" w:styleId="Char0">
    <w:name w:val="页脚 Char"/>
    <w:basedOn w:val="a0"/>
    <w:link w:val="a4"/>
    <w:uiPriority w:val="99"/>
    <w:rsid w:val="0001248D"/>
    <w:rPr>
      <w:sz w:val="18"/>
      <w:szCs w:val="18"/>
    </w:rPr>
  </w:style>
  <w:style w:type="character" w:styleId="HTML">
    <w:name w:val="HTML Typewriter"/>
    <w:basedOn w:val="a0"/>
    <w:uiPriority w:val="99"/>
    <w:semiHidden/>
    <w:unhideWhenUsed/>
    <w:rsid w:val="0001248D"/>
    <w:rPr>
      <w:rFonts w:ascii="宋体" w:eastAsia="宋体" w:hAnsi="宋体" w:cs="宋体"/>
      <w:sz w:val="24"/>
      <w:szCs w:val="24"/>
    </w:rPr>
  </w:style>
  <w:style w:type="character" w:styleId="a5">
    <w:name w:val="Strong"/>
    <w:basedOn w:val="a0"/>
    <w:uiPriority w:val="22"/>
    <w:qFormat/>
    <w:rsid w:val="0001248D"/>
    <w:rPr>
      <w:b/>
      <w:bCs/>
    </w:rPr>
  </w:style>
  <w:style w:type="character" w:styleId="a6">
    <w:name w:val="Hyperlink"/>
    <w:basedOn w:val="a0"/>
    <w:uiPriority w:val="99"/>
    <w:unhideWhenUsed/>
    <w:rsid w:val="00A76D25"/>
    <w:rPr>
      <w:color w:val="0000FF" w:themeColor="hyperlink"/>
      <w:u w:val="single"/>
    </w:rPr>
  </w:style>
  <w:style w:type="paragraph" w:styleId="a7">
    <w:name w:val="Document Map"/>
    <w:basedOn w:val="a"/>
    <w:link w:val="Char1"/>
    <w:uiPriority w:val="99"/>
    <w:semiHidden/>
    <w:unhideWhenUsed/>
    <w:rsid w:val="00371267"/>
    <w:rPr>
      <w:rFonts w:ascii="宋体" w:eastAsia="宋体"/>
      <w:sz w:val="18"/>
      <w:szCs w:val="18"/>
    </w:rPr>
  </w:style>
  <w:style w:type="character" w:customStyle="1" w:styleId="Char1">
    <w:name w:val="文档结构图 Char"/>
    <w:basedOn w:val="a0"/>
    <w:link w:val="a7"/>
    <w:uiPriority w:val="99"/>
    <w:semiHidden/>
    <w:rsid w:val="00371267"/>
    <w:rPr>
      <w:rFonts w:ascii="宋体" w:eastAsia="宋体"/>
      <w:sz w:val="18"/>
      <w:szCs w:val="18"/>
    </w:rPr>
  </w:style>
  <w:style w:type="paragraph" w:styleId="a8">
    <w:name w:val="Balloon Text"/>
    <w:basedOn w:val="a"/>
    <w:link w:val="Char2"/>
    <w:uiPriority w:val="99"/>
    <w:semiHidden/>
    <w:unhideWhenUsed/>
    <w:rsid w:val="00371267"/>
    <w:rPr>
      <w:sz w:val="18"/>
      <w:szCs w:val="18"/>
    </w:rPr>
  </w:style>
  <w:style w:type="character" w:customStyle="1" w:styleId="Char2">
    <w:name w:val="批注框文本 Char"/>
    <w:basedOn w:val="a0"/>
    <w:link w:val="a8"/>
    <w:uiPriority w:val="99"/>
    <w:semiHidden/>
    <w:rsid w:val="00371267"/>
    <w:rPr>
      <w:sz w:val="18"/>
      <w:szCs w:val="18"/>
    </w:rPr>
  </w:style>
  <w:style w:type="paragraph" w:styleId="a9">
    <w:name w:val="Revision"/>
    <w:hidden/>
    <w:uiPriority w:val="99"/>
    <w:semiHidden/>
    <w:rsid w:val="00671CFF"/>
  </w:style>
  <w:style w:type="table" w:styleId="aa">
    <w:name w:val="Table Grid"/>
    <w:basedOn w:val="a1"/>
    <w:uiPriority w:val="59"/>
    <w:rsid w:val="001A4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732288">
      <w:bodyDiv w:val="1"/>
      <w:marLeft w:val="0"/>
      <w:marRight w:val="0"/>
      <w:marTop w:val="0"/>
      <w:marBottom w:val="0"/>
      <w:divBdr>
        <w:top w:val="none" w:sz="0" w:space="0" w:color="auto"/>
        <w:left w:val="none" w:sz="0" w:space="0" w:color="auto"/>
        <w:bottom w:val="none" w:sz="0" w:space="0" w:color="auto"/>
        <w:right w:val="none" w:sz="0" w:space="0" w:color="auto"/>
      </w:divBdr>
    </w:div>
    <w:div w:id="83114097">
      <w:bodyDiv w:val="1"/>
      <w:marLeft w:val="0"/>
      <w:marRight w:val="0"/>
      <w:marTop w:val="0"/>
      <w:marBottom w:val="0"/>
      <w:divBdr>
        <w:top w:val="none" w:sz="0" w:space="0" w:color="auto"/>
        <w:left w:val="none" w:sz="0" w:space="0" w:color="auto"/>
        <w:bottom w:val="none" w:sz="0" w:space="0" w:color="auto"/>
        <w:right w:val="none" w:sz="0" w:space="0" w:color="auto"/>
      </w:divBdr>
    </w:div>
    <w:div w:id="85080442">
      <w:bodyDiv w:val="1"/>
      <w:marLeft w:val="0"/>
      <w:marRight w:val="0"/>
      <w:marTop w:val="0"/>
      <w:marBottom w:val="0"/>
      <w:divBdr>
        <w:top w:val="none" w:sz="0" w:space="0" w:color="auto"/>
        <w:left w:val="none" w:sz="0" w:space="0" w:color="auto"/>
        <w:bottom w:val="none" w:sz="0" w:space="0" w:color="auto"/>
        <w:right w:val="none" w:sz="0" w:space="0" w:color="auto"/>
      </w:divBdr>
    </w:div>
    <w:div w:id="620766658">
      <w:bodyDiv w:val="1"/>
      <w:marLeft w:val="0"/>
      <w:marRight w:val="0"/>
      <w:marTop w:val="0"/>
      <w:marBottom w:val="0"/>
      <w:divBdr>
        <w:top w:val="none" w:sz="0" w:space="0" w:color="auto"/>
        <w:left w:val="none" w:sz="0" w:space="0" w:color="auto"/>
        <w:bottom w:val="none" w:sz="0" w:space="0" w:color="auto"/>
        <w:right w:val="none" w:sz="0" w:space="0" w:color="auto"/>
      </w:divBdr>
    </w:div>
    <w:div w:id="1469128673">
      <w:bodyDiv w:val="1"/>
      <w:marLeft w:val="0"/>
      <w:marRight w:val="0"/>
      <w:marTop w:val="0"/>
      <w:marBottom w:val="0"/>
      <w:divBdr>
        <w:top w:val="none" w:sz="0" w:space="0" w:color="auto"/>
        <w:left w:val="none" w:sz="0" w:space="0" w:color="auto"/>
        <w:bottom w:val="none" w:sz="0" w:space="0" w:color="auto"/>
        <w:right w:val="none" w:sz="0" w:space="0" w:color="auto"/>
      </w:divBdr>
    </w:div>
    <w:div w:id="1629968314">
      <w:bodyDiv w:val="1"/>
      <w:marLeft w:val="0"/>
      <w:marRight w:val="0"/>
      <w:marTop w:val="0"/>
      <w:marBottom w:val="0"/>
      <w:divBdr>
        <w:top w:val="none" w:sz="0" w:space="0" w:color="auto"/>
        <w:left w:val="none" w:sz="0" w:space="0" w:color="auto"/>
        <w:bottom w:val="none" w:sz="0" w:space="0" w:color="auto"/>
        <w:right w:val="none" w:sz="0" w:space="0" w:color="auto"/>
      </w:divBdr>
    </w:div>
    <w:div w:id="1642686449">
      <w:bodyDiv w:val="1"/>
      <w:marLeft w:val="0"/>
      <w:marRight w:val="0"/>
      <w:marTop w:val="0"/>
      <w:marBottom w:val="0"/>
      <w:divBdr>
        <w:top w:val="none" w:sz="0" w:space="0" w:color="auto"/>
        <w:left w:val="none" w:sz="0" w:space="0" w:color="auto"/>
        <w:bottom w:val="none" w:sz="0" w:space="0" w:color="auto"/>
        <w:right w:val="none" w:sz="0" w:space="0" w:color="auto"/>
      </w:divBdr>
      <w:divsChild>
        <w:div w:id="613051469">
          <w:marLeft w:val="0"/>
          <w:marRight w:val="0"/>
          <w:marTop w:val="180"/>
          <w:marBottom w:val="0"/>
          <w:divBdr>
            <w:top w:val="none" w:sz="0" w:space="0" w:color="auto"/>
            <w:left w:val="none" w:sz="0" w:space="0" w:color="auto"/>
            <w:bottom w:val="none" w:sz="0" w:space="0" w:color="auto"/>
            <w:right w:val="none" w:sz="0" w:space="0" w:color="auto"/>
          </w:divBdr>
          <w:divsChild>
            <w:div w:id="1167749446">
              <w:marLeft w:val="0"/>
              <w:marRight w:val="0"/>
              <w:marTop w:val="0"/>
              <w:marBottom w:val="0"/>
              <w:divBdr>
                <w:top w:val="none" w:sz="0" w:space="0" w:color="auto"/>
                <w:left w:val="none" w:sz="0" w:space="0" w:color="auto"/>
                <w:bottom w:val="none" w:sz="0" w:space="0" w:color="auto"/>
                <w:right w:val="none" w:sz="0" w:space="0" w:color="auto"/>
              </w:divBdr>
              <w:divsChild>
                <w:div w:id="1095631000">
                  <w:marLeft w:val="0"/>
                  <w:marRight w:val="0"/>
                  <w:marTop w:val="0"/>
                  <w:marBottom w:val="0"/>
                  <w:divBdr>
                    <w:top w:val="none" w:sz="0" w:space="0" w:color="auto"/>
                    <w:left w:val="none" w:sz="0" w:space="0" w:color="auto"/>
                    <w:bottom w:val="none" w:sz="0" w:space="0" w:color="auto"/>
                    <w:right w:val="none" w:sz="0" w:space="0" w:color="auto"/>
                  </w:divBdr>
                  <w:divsChild>
                    <w:div w:id="14901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5224">
      <w:bodyDiv w:val="1"/>
      <w:marLeft w:val="0"/>
      <w:marRight w:val="0"/>
      <w:marTop w:val="0"/>
      <w:marBottom w:val="0"/>
      <w:divBdr>
        <w:top w:val="none" w:sz="0" w:space="0" w:color="auto"/>
        <w:left w:val="none" w:sz="0" w:space="0" w:color="auto"/>
        <w:bottom w:val="none" w:sz="0" w:space="0" w:color="auto"/>
        <w:right w:val="none" w:sz="0" w:space="0" w:color="auto"/>
      </w:divBdr>
    </w:div>
    <w:div w:id="21322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AFBC9-F9F9-47EB-8F35-EB1E59DA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2575</Characters>
  <Application>Microsoft Office Word</Application>
  <DocSecurity>4</DocSecurity>
  <Lines>21</Lines>
  <Paragraphs>6</Paragraphs>
  <ScaleCrop>false</ScaleCrop>
  <Company>E Fund</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邱纯域</dc:creator>
  <cp:lastModifiedBy>ZHONGM</cp:lastModifiedBy>
  <cp:revision>2</cp:revision>
  <cp:lastPrinted>2015-07-09T03:14:00Z</cp:lastPrinted>
  <dcterms:created xsi:type="dcterms:W3CDTF">2020-09-24T16:19:00Z</dcterms:created>
  <dcterms:modified xsi:type="dcterms:W3CDTF">2020-09-24T16:19:00Z</dcterms:modified>
</cp:coreProperties>
</file>