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49B7" w:rsidRPr="00823E66" w:rsidRDefault="008749B7" w:rsidP="00A2213C">
      <w:pPr>
        <w:pStyle w:val="1"/>
        <w:spacing w:before="0" w:after="0" w:line="560" w:lineRule="exact"/>
        <w:jc w:val="center"/>
        <w:rPr>
          <w:rFonts w:ascii="黑体" w:eastAsia="黑体" w:hAnsi="黑体" w:hint="eastAsia"/>
          <w:bCs/>
          <w:color w:val="000000"/>
          <w:sz w:val="32"/>
          <w:szCs w:val="32"/>
        </w:rPr>
      </w:pPr>
    </w:p>
    <w:p w:rsidR="00405D9E" w:rsidRPr="008749B7" w:rsidRDefault="00597482" w:rsidP="00405D9E">
      <w:pPr>
        <w:pStyle w:val="1"/>
        <w:spacing w:before="0" w:after="0" w:line="560" w:lineRule="exact"/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r w:rsidRPr="00597482">
        <w:rPr>
          <w:rFonts w:ascii="黑体" w:eastAsia="黑体" w:hAnsi="黑体"/>
          <w:bCs/>
          <w:color w:val="000000"/>
          <w:sz w:val="32"/>
          <w:szCs w:val="32"/>
        </w:rPr>
        <w:t>国投瑞银货币</w:t>
      </w:r>
      <w:r w:rsidRPr="00597482">
        <w:rPr>
          <w:rFonts w:ascii="黑体" w:eastAsia="黑体" w:hAnsi="黑体" w:hint="eastAsia"/>
          <w:bCs/>
          <w:color w:val="000000"/>
          <w:sz w:val="32"/>
          <w:szCs w:val="32"/>
        </w:rPr>
        <w:t>市场</w:t>
      </w:r>
      <w:r w:rsidRPr="00597482">
        <w:rPr>
          <w:rFonts w:ascii="黑体" w:eastAsia="黑体" w:hAnsi="黑体"/>
          <w:bCs/>
          <w:color w:val="000000"/>
          <w:sz w:val="32"/>
          <w:szCs w:val="32"/>
        </w:rPr>
        <w:t>基金</w:t>
      </w:r>
      <w:r w:rsidR="00405D9E" w:rsidRPr="008749B7">
        <w:rPr>
          <w:rFonts w:ascii="黑体" w:eastAsia="黑体" w:hAnsi="黑体"/>
          <w:bCs/>
          <w:color w:val="000000"/>
          <w:sz w:val="32"/>
          <w:szCs w:val="32"/>
        </w:rPr>
        <w:t>暂停及恢复申购（转换转入、大额定期定额投资）</w:t>
      </w:r>
      <w:r w:rsidR="000669DE">
        <w:rPr>
          <w:rFonts w:ascii="黑体" w:eastAsia="黑体" w:hAnsi="黑体" w:hint="eastAsia"/>
          <w:bCs/>
          <w:color w:val="000000"/>
          <w:sz w:val="32"/>
          <w:szCs w:val="32"/>
        </w:rPr>
        <w:t>业务</w:t>
      </w:r>
      <w:r w:rsidR="00823E66">
        <w:rPr>
          <w:rFonts w:ascii="黑体" w:eastAsia="黑体" w:hAnsi="黑体" w:hint="eastAsia"/>
          <w:bCs/>
          <w:color w:val="000000"/>
          <w:sz w:val="32"/>
          <w:szCs w:val="32"/>
        </w:rPr>
        <w:t>的</w:t>
      </w:r>
      <w:r w:rsidR="00405D9E" w:rsidRPr="008749B7">
        <w:rPr>
          <w:rFonts w:ascii="黑体" w:eastAsia="黑体" w:hAnsi="黑体"/>
          <w:bCs/>
          <w:color w:val="000000"/>
          <w:sz w:val="32"/>
          <w:szCs w:val="32"/>
        </w:rPr>
        <w:t>公告</w:t>
      </w:r>
    </w:p>
    <w:p w:rsidR="00C06DE1" w:rsidRDefault="00C06DE1">
      <w:pPr>
        <w:spacing w:line="560" w:lineRule="exact"/>
        <w:rPr>
          <w:color w:val="000000"/>
        </w:rPr>
      </w:pPr>
    </w:p>
    <w:p w:rsidR="00C06DE1" w:rsidRPr="00607F82" w:rsidRDefault="00C06DE1">
      <w:pPr>
        <w:spacing w:line="560" w:lineRule="exact"/>
        <w:jc w:val="center"/>
        <w:rPr>
          <w:rFonts w:ascii="宋体" w:eastAsia="宋体" w:hAnsi="宋体" w:hint="eastAsia"/>
          <w:color w:val="000000"/>
          <w:sz w:val="24"/>
        </w:rPr>
      </w:pPr>
      <w:r w:rsidRPr="00607F82">
        <w:rPr>
          <w:rFonts w:ascii="宋体" w:eastAsia="宋体" w:hAnsi="宋体"/>
          <w:color w:val="000000"/>
          <w:sz w:val="24"/>
        </w:rPr>
        <w:t>公告送出日期：</w:t>
      </w:r>
      <w:r w:rsidR="00882900" w:rsidRPr="00882900">
        <w:rPr>
          <w:rFonts w:ascii="宋体" w:eastAsia="宋体" w:hAnsi="宋体" w:hint="eastAsia"/>
          <w:color w:val="000000"/>
          <w:sz w:val="24"/>
        </w:rPr>
        <w:t>2020年09月25日</w:t>
      </w:r>
    </w:p>
    <w:p w:rsidR="00C06DE1" w:rsidRPr="00607F82" w:rsidRDefault="00C06DE1">
      <w:pPr>
        <w:spacing w:line="560" w:lineRule="exact"/>
        <w:rPr>
          <w:rFonts w:ascii="宋体" w:eastAsia="宋体" w:hAnsi="宋体"/>
          <w:color w:val="000000"/>
          <w:sz w:val="24"/>
        </w:rPr>
      </w:pPr>
    </w:p>
    <w:p w:rsidR="00E232AF" w:rsidRDefault="00C06DE1" w:rsidP="0026173F">
      <w:pPr>
        <w:pStyle w:val="2"/>
        <w:numPr>
          <w:ilvl w:val="0"/>
          <w:numId w:val="5"/>
        </w:numPr>
        <w:spacing w:line="560" w:lineRule="exact"/>
        <w:rPr>
          <w:rFonts w:ascii="宋体" w:eastAsia="宋体" w:hAnsi="宋体"/>
          <w:color w:val="000000"/>
          <w:sz w:val="24"/>
        </w:rPr>
      </w:pPr>
      <w:bookmarkStart w:id="0" w:name="_Toc275961405"/>
      <w:r w:rsidRPr="00607F82">
        <w:rPr>
          <w:rFonts w:ascii="宋体" w:eastAsia="宋体" w:hAnsi="宋体"/>
          <w:color w:val="000000"/>
          <w:sz w:val="24"/>
        </w:rPr>
        <w:t>公告基本信息</w:t>
      </w:r>
      <w:bookmarkStart w:id="1" w:name="_Toc275961406"/>
      <w:bookmarkEnd w:id="0"/>
    </w:p>
    <w:p w:rsidR="00E232AF" w:rsidRPr="00E232AF" w:rsidRDefault="00E232AF" w:rsidP="00E232A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261"/>
        <w:gridCol w:w="2127"/>
        <w:gridCol w:w="2317"/>
      </w:tblGrid>
      <w:tr w:rsidR="00E232AF" w:rsidRPr="00875AC0" w:rsidTr="00875AC0">
        <w:tc>
          <w:tcPr>
            <w:tcW w:w="4503" w:type="dxa"/>
            <w:gridSpan w:val="2"/>
            <w:shd w:val="clear" w:color="auto" w:fill="auto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基金名称</w:t>
            </w:r>
          </w:p>
        </w:tc>
        <w:tc>
          <w:tcPr>
            <w:tcW w:w="4444" w:type="dxa"/>
            <w:gridSpan w:val="2"/>
            <w:shd w:val="clear" w:color="auto" w:fill="auto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国投瑞银货币市场基金</w:t>
            </w:r>
          </w:p>
        </w:tc>
      </w:tr>
      <w:tr w:rsidR="00E232AF" w:rsidRPr="00875AC0" w:rsidTr="00875AC0">
        <w:tc>
          <w:tcPr>
            <w:tcW w:w="4503" w:type="dxa"/>
            <w:gridSpan w:val="2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基金简称</w:t>
            </w:r>
          </w:p>
        </w:tc>
        <w:tc>
          <w:tcPr>
            <w:tcW w:w="4444" w:type="dxa"/>
            <w:gridSpan w:val="2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国投瑞银货币</w:t>
            </w:r>
          </w:p>
        </w:tc>
      </w:tr>
      <w:tr w:rsidR="00E232AF" w:rsidRPr="00875AC0" w:rsidTr="00875AC0">
        <w:tc>
          <w:tcPr>
            <w:tcW w:w="4503" w:type="dxa"/>
            <w:gridSpan w:val="2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基金主代码</w:t>
            </w:r>
          </w:p>
        </w:tc>
        <w:tc>
          <w:tcPr>
            <w:tcW w:w="4444" w:type="dxa"/>
            <w:gridSpan w:val="2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121011</w:t>
            </w:r>
          </w:p>
        </w:tc>
      </w:tr>
      <w:tr w:rsidR="00E232AF" w:rsidRPr="00875AC0" w:rsidTr="00875AC0">
        <w:tc>
          <w:tcPr>
            <w:tcW w:w="4503" w:type="dxa"/>
            <w:gridSpan w:val="2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基金管理人名称</w:t>
            </w:r>
          </w:p>
        </w:tc>
        <w:tc>
          <w:tcPr>
            <w:tcW w:w="4444" w:type="dxa"/>
            <w:gridSpan w:val="2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国投瑞银基金管理有限公司</w:t>
            </w:r>
          </w:p>
        </w:tc>
      </w:tr>
      <w:tr w:rsidR="00E232AF" w:rsidRPr="00875AC0" w:rsidTr="00875AC0">
        <w:tc>
          <w:tcPr>
            <w:tcW w:w="4503" w:type="dxa"/>
            <w:gridSpan w:val="2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公告依据</w:t>
            </w:r>
          </w:p>
        </w:tc>
        <w:tc>
          <w:tcPr>
            <w:tcW w:w="4444" w:type="dxa"/>
            <w:gridSpan w:val="2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《公开募集证券投资基金信息披露管理办法》及本基金基金合同和招募说明书等</w:t>
            </w:r>
          </w:p>
        </w:tc>
      </w:tr>
      <w:tr w:rsidR="00E232AF" w:rsidRPr="00875AC0" w:rsidTr="00875AC0">
        <w:tc>
          <w:tcPr>
            <w:tcW w:w="1242" w:type="dxa"/>
            <w:vMerge w:val="restart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暂停相关业务的起始日、金额及原因说明</w:t>
            </w:r>
          </w:p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暂停申购起始日</w:t>
            </w:r>
          </w:p>
        </w:tc>
        <w:tc>
          <w:tcPr>
            <w:tcW w:w="4444" w:type="dxa"/>
            <w:gridSpan w:val="2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2020年09月29日</w:t>
            </w:r>
          </w:p>
        </w:tc>
      </w:tr>
      <w:tr w:rsidR="00E232AF" w:rsidRPr="00875AC0" w:rsidTr="00875AC0">
        <w:tc>
          <w:tcPr>
            <w:tcW w:w="1242" w:type="dxa"/>
            <w:vMerge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暂停转换转入起始日</w:t>
            </w:r>
          </w:p>
        </w:tc>
        <w:tc>
          <w:tcPr>
            <w:tcW w:w="4444" w:type="dxa"/>
            <w:gridSpan w:val="2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2020年09月29日</w:t>
            </w:r>
          </w:p>
        </w:tc>
      </w:tr>
      <w:tr w:rsidR="00E232AF" w:rsidRPr="00875AC0" w:rsidTr="00875AC0">
        <w:tc>
          <w:tcPr>
            <w:tcW w:w="1242" w:type="dxa"/>
            <w:vMerge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暂停大额定期定额投资起始日</w:t>
            </w:r>
          </w:p>
        </w:tc>
        <w:tc>
          <w:tcPr>
            <w:tcW w:w="4444" w:type="dxa"/>
            <w:gridSpan w:val="2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2020年09月29日，另见“其他需要提示的事项”。</w:t>
            </w:r>
          </w:p>
        </w:tc>
      </w:tr>
      <w:tr w:rsidR="00E232AF" w:rsidRPr="00875AC0" w:rsidTr="00875AC0">
        <w:tc>
          <w:tcPr>
            <w:tcW w:w="1242" w:type="dxa"/>
            <w:vMerge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暂停申购（转换转入、大额定期定额投资）的原因说明</w:t>
            </w:r>
          </w:p>
        </w:tc>
        <w:tc>
          <w:tcPr>
            <w:tcW w:w="4444" w:type="dxa"/>
            <w:gridSpan w:val="2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根据国务院办公厅关于2020年部分节假日安排的通知，为保护持有人利益，特暂停相关业务。</w:t>
            </w:r>
          </w:p>
        </w:tc>
      </w:tr>
      <w:tr w:rsidR="00E232AF" w:rsidRPr="00875AC0" w:rsidTr="00875AC0">
        <w:tc>
          <w:tcPr>
            <w:tcW w:w="1242" w:type="dxa"/>
            <w:vMerge w:val="restart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恢复相关业务的日期及原因说明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恢复申购日</w:t>
            </w:r>
          </w:p>
        </w:tc>
        <w:tc>
          <w:tcPr>
            <w:tcW w:w="4444" w:type="dxa"/>
            <w:gridSpan w:val="2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2020年10月09日</w:t>
            </w:r>
          </w:p>
        </w:tc>
      </w:tr>
      <w:tr w:rsidR="00E232AF" w:rsidRPr="00875AC0" w:rsidTr="00875AC0">
        <w:tc>
          <w:tcPr>
            <w:tcW w:w="1242" w:type="dxa"/>
            <w:vMerge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恢复转换转入日</w:t>
            </w:r>
          </w:p>
        </w:tc>
        <w:tc>
          <w:tcPr>
            <w:tcW w:w="4444" w:type="dxa"/>
            <w:gridSpan w:val="2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2020年10月09日</w:t>
            </w:r>
          </w:p>
        </w:tc>
      </w:tr>
      <w:tr w:rsidR="00E232AF" w:rsidRPr="00875AC0" w:rsidTr="00875AC0">
        <w:tc>
          <w:tcPr>
            <w:tcW w:w="1242" w:type="dxa"/>
            <w:vMerge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恢复大额定期定额投资日</w:t>
            </w:r>
          </w:p>
        </w:tc>
        <w:tc>
          <w:tcPr>
            <w:tcW w:w="4444" w:type="dxa"/>
            <w:gridSpan w:val="2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2020年10月09日</w:t>
            </w:r>
          </w:p>
        </w:tc>
      </w:tr>
      <w:tr w:rsidR="00E232AF" w:rsidRPr="00875AC0" w:rsidTr="00875AC0">
        <w:tc>
          <w:tcPr>
            <w:tcW w:w="1242" w:type="dxa"/>
            <w:vMerge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恢复申购（转换转入、大额定期定额投资）的原因说明</w:t>
            </w:r>
          </w:p>
        </w:tc>
        <w:tc>
          <w:tcPr>
            <w:tcW w:w="4444" w:type="dxa"/>
            <w:gridSpan w:val="2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同暂停原因</w:t>
            </w:r>
          </w:p>
        </w:tc>
      </w:tr>
      <w:tr w:rsidR="00E232AF" w:rsidRPr="00875AC0" w:rsidTr="00875AC0">
        <w:tc>
          <w:tcPr>
            <w:tcW w:w="4503" w:type="dxa"/>
            <w:gridSpan w:val="2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下属基金份额的基金简称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国投瑞银货币A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国投瑞银货币B</w:t>
            </w:r>
          </w:p>
        </w:tc>
      </w:tr>
      <w:tr w:rsidR="00E232AF" w:rsidRPr="00875AC0" w:rsidTr="00875AC0">
        <w:tc>
          <w:tcPr>
            <w:tcW w:w="4503" w:type="dxa"/>
            <w:gridSpan w:val="2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下属基金份额的交易代码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121011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128011</w:t>
            </w:r>
          </w:p>
        </w:tc>
      </w:tr>
      <w:tr w:rsidR="00E232AF" w:rsidRPr="00875AC0" w:rsidTr="00875AC0">
        <w:tc>
          <w:tcPr>
            <w:tcW w:w="4503" w:type="dxa"/>
            <w:gridSpan w:val="2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该基金份额是否暂停/恢复申购（转换转入、大额定期定额投资）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E232AF" w:rsidRPr="00875AC0" w:rsidRDefault="00E232AF" w:rsidP="00E232AF">
            <w:pP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75AC0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是</w:t>
            </w:r>
          </w:p>
        </w:tc>
      </w:tr>
    </w:tbl>
    <w:p w:rsidR="00E232AF" w:rsidRPr="0026173F" w:rsidRDefault="00E232AF" w:rsidP="0026173F">
      <w:pPr>
        <w:rPr>
          <w:rFonts w:ascii="宋体" w:eastAsia="宋体" w:hAnsi="宋体" w:hint="eastAsia"/>
          <w:color w:val="000000"/>
          <w:kern w:val="0"/>
          <w:sz w:val="24"/>
          <w:szCs w:val="24"/>
        </w:rPr>
      </w:pPr>
    </w:p>
    <w:p w:rsidR="00C06DE1" w:rsidRPr="00607F82" w:rsidRDefault="00C06DE1" w:rsidP="00093A83">
      <w:pPr>
        <w:pStyle w:val="2"/>
        <w:numPr>
          <w:ilvl w:val="0"/>
          <w:numId w:val="5"/>
        </w:numPr>
        <w:spacing w:before="0" w:after="0" w:line="360" w:lineRule="auto"/>
        <w:rPr>
          <w:rFonts w:ascii="宋体" w:eastAsia="宋体" w:hAnsi="宋体" w:hint="eastAsia"/>
          <w:color w:val="000000"/>
          <w:sz w:val="24"/>
        </w:rPr>
      </w:pPr>
      <w:r w:rsidRPr="00607F82">
        <w:rPr>
          <w:rFonts w:ascii="宋体" w:eastAsia="宋体" w:hAnsi="宋体"/>
          <w:color w:val="000000"/>
          <w:sz w:val="24"/>
        </w:rPr>
        <w:lastRenderedPageBreak/>
        <w:t>其他需要提示的事项</w:t>
      </w:r>
      <w:bookmarkEnd w:id="1"/>
    </w:p>
    <w:p w:rsidR="000B6EB0" w:rsidRPr="00607F82" w:rsidRDefault="00914895" w:rsidP="00093A83">
      <w:pPr>
        <w:spacing w:line="360" w:lineRule="auto"/>
        <w:ind w:firstLineChars="200" w:firstLine="504"/>
        <w:rPr>
          <w:rFonts w:ascii="宋体" w:eastAsia="宋体" w:hAnsi="宋体" w:hint="eastAsia"/>
          <w:color w:val="000000"/>
          <w:sz w:val="24"/>
          <w:szCs w:val="24"/>
        </w:rPr>
      </w:pPr>
      <w:r w:rsidRPr="00607F82">
        <w:rPr>
          <w:rFonts w:ascii="宋体" w:eastAsia="宋体" w:hAnsi="宋体" w:hint="eastAsia"/>
          <w:color w:val="000000"/>
          <w:kern w:val="0"/>
          <w:sz w:val="24"/>
          <w:szCs w:val="24"/>
        </w:rPr>
        <w:t>（1）</w:t>
      </w:r>
      <w:r w:rsidR="00B42B10" w:rsidRPr="00607F82">
        <w:rPr>
          <w:rFonts w:ascii="宋体" w:eastAsia="宋体" w:hAnsi="宋体" w:hint="eastAsia"/>
          <w:color w:val="000000"/>
          <w:kern w:val="0"/>
          <w:sz w:val="24"/>
          <w:szCs w:val="24"/>
        </w:rPr>
        <w:t>本基金本次暂停</w:t>
      </w:r>
      <w:r w:rsidR="00091DC7">
        <w:rPr>
          <w:rFonts w:ascii="宋体" w:eastAsia="宋体" w:hAnsi="宋体" w:hint="eastAsia"/>
          <w:color w:val="000000"/>
          <w:kern w:val="0"/>
          <w:sz w:val="24"/>
          <w:szCs w:val="24"/>
        </w:rPr>
        <w:t>申购、</w:t>
      </w:r>
      <w:r w:rsidR="00091DC7" w:rsidRPr="00091DC7">
        <w:rPr>
          <w:rFonts w:ascii="宋体" w:eastAsia="宋体" w:hAnsi="宋体" w:hint="eastAsia"/>
          <w:color w:val="000000"/>
          <w:kern w:val="0"/>
          <w:sz w:val="24"/>
          <w:szCs w:val="24"/>
        </w:rPr>
        <w:t>转换转入、大额定期定额投资</w:t>
      </w:r>
      <w:r w:rsidR="00B42B10" w:rsidRPr="00607F82">
        <w:rPr>
          <w:rFonts w:ascii="宋体" w:eastAsia="宋体" w:hAnsi="宋体" w:hint="eastAsia"/>
          <w:color w:val="000000"/>
          <w:kern w:val="0"/>
          <w:sz w:val="24"/>
          <w:szCs w:val="24"/>
        </w:rPr>
        <w:t>业务期间，</w:t>
      </w:r>
      <w:r w:rsidR="00633935" w:rsidRPr="00607F82">
        <w:rPr>
          <w:rFonts w:ascii="宋体" w:eastAsia="宋体" w:hAnsi="宋体"/>
          <w:color w:val="000000"/>
          <w:sz w:val="24"/>
          <w:szCs w:val="24"/>
        </w:rPr>
        <w:t>单个基金账户</w:t>
      </w:r>
      <w:r w:rsidR="000716CA" w:rsidRPr="00607F82">
        <w:rPr>
          <w:rFonts w:ascii="宋体" w:eastAsia="宋体" w:hAnsi="宋体" w:hint="eastAsia"/>
          <w:color w:val="000000"/>
          <w:sz w:val="24"/>
          <w:szCs w:val="24"/>
        </w:rPr>
        <w:t>每日</w:t>
      </w:r>
      <w:r w:rsidR="00124203" w:rsidRPr="00607F82">
        <w:rPr>
          <w:rFonts w:ascii="宋体" w:eastAsia="宋体" w:hAnsi="宋体" w:hint="eastAsia"/>
          <w:color w:val="000000"/>
          <w:sz w:val="24"/>
          <w:szCs w:val="24"/>
        </w:rPr>
        <w:t>定期定额申购</w:t>
      </w:r>
      <w:r w:rsidR="00633935" w:rsidRPr="00607F82">
        <w:rPr>
          <w:rFonts w:ascii="宋体" w:eastAsia="宋体" w:hAnsi="宋体" w:hint="eastAsia"/>
          <w:color w:val="000000"/>
          <w:sz w:val="24"/>
          <w:szCs w:val="24"/>
        </w:rPr>
        <w:t>累计</w:t>
      </w:r>
      <w:r w:rsidR="000B6EB0" w:rsidRPr="00607F82">
        <w:rPr>
          <w:rFonts w:ascii="宋体" w:eastAsia="宋体" w:hAnsi="宋体" w:hint="eastAsia"/>
          <w:color w:val="000000"/>
          <w:sz w:val="24"/>
          <w:szCs w:val="24"/>
        </w:rPr>
        <w:t>不得超过</w:t>
      </w:r>
      <w:r w:rsidR="00597482" w:rsidRPr="00607F82">
        <w:rPr>
          <w:rFonts w:ascii="宋体" w:eastAsia="宋体" w:hAnsi="宋体" w:hint="eastAsia"/>
          <w:color w:val="000000"/>
          <w:sz w:val="24"/>
          <w:szCs w:val="24"/>
        </w:rPr>
        <w:t>3万</w:t>
      </w:r>
      <w:r w:rsidR="000B6EB0" w:rsidRPr="00607F82">
        <w:rPr>
          <w:rFonts w:ascii="宋体" w:eastAsia="宋体" w:hAnsi="宋体" w:hint="eastAsia"/>
          <w:color w:val="000000"/>
          <w:sz w:val="24"/>
          <w:szCs w:val="24"/>
        </w:rPr>
        <w:t>元</w:t>
      </w:r>
      <w:r w:rsidR="009B62E0" w:rsidRPr="009B62E0">
        <w:rPr>
          <w:rFonts w:ascii="宋体" w:eastAsia="宋体" w:hAnsi="宋体" w:hint="eastAsia"/>
          <w:color w:val="000000"/>
          <w:sz w:val="24"/>
          <w:szCs w:val="24"/>
        </w:rPr>
        <w:t>（A类和B类份额合并计算）</w:t>
      </w:r>
      <w:r w:rsidR="000B6EB0" w:rsidRPr="00607F82"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:rsidR="003C35E2" w:rsidRDefault="00914895" w:rsidP="00345D18">
      <w:pPr>
        <w:spacing w:line="360" w:lineRule="auto"/>
        <w:ind w:firstLineChars="200" w:firstLine="504"/>
        <w:rPr>
          <w:rFonts w:ascii="宋体" w:eastAsia="宋体" w:hAnsi="宋体" w:hint="eastAsia"/>
          <w:color w:val="000000"/>
          <w:sz w:val="24"/>
          <w:szCs w:val="24"/>
        </w:rPr>
      </w:pPr>
      <w:r w:rsidRPr="00607F82">
        <w:rPr>
          <w:rFonts w:ascii="宋体" w:eastAsia="宋体" w:hAnsi="宋体" w:hint="eastAsia"/>
          <w:color w:val="000000"/>
          <w:sz w:val="24"/>
          <w:szCs w:val="24"/>
        </w:rPr>
        <w:t>（2）</w:t>
      </w:r>
      <w:r w:rsidR="00C51DB6" w:rsidRPr="00607F82">
        <w:rPr>
          <w:rFonts w:ascii="宋体" w:eastAsia="宋体" w:hAnsi="宋体" w:hint="eastAsia"/>
          <w:color w:val="000000"/>
          <w:sz w:val="24"/>
          <w:szCs w:val="24"/>
        </w:rPr>
        <w:t>本基金恢复申购、转换转入、大额定期定额投资后，</w:t>
      </w:r>
      <w:r w:rsidRPr="00607F82">
        <w:rPr>
          <w:rFonts w:ascii="宋体" w:eastAsia="宋体" w:hAnsi="宋体" w:hint="eastAsia"/>
          <w:color w:val="000000"/>
          <w:sz w:val="24"/>
          <w:szCs w:val="24"/>
        </w:rPr>
        <w:t>仍执行</w:t>
      </w:r>
      <w:r w:rsidR="00091DC7">
        <w:rPr>
          <w:rFonts w:ascii="宋体" w:eastAsia="宋体" w:hAnsi="宋体"/>
          <w:color w:val="000000"/>
          <w:sz w:val="24"/>
          <w:szCs w:val="24"/>
        </w:rPr>
        <w:t>2020</w:t>
      </w:r>
      <w:r w:rsidRPr="00607F82">
        <w:rPr>
          <w:rFonts w:ascii="宋体" w:eastAsia="宋体" w:hAnsi="宋体" w:hint="eastAsia"/>
          <w:color w:val="000000"/>
          <w:sz w:val="24"/>
          <w:szCs w:val="24"/>
        </w:rPr>
        <w:t>年</w:t>
      </w:r>
      <w:r w:rsidR="00091DC7">
        <w:rPr>
          <w:rFonts w:ascii="宋体" w:eastAsia="宋体" w:hAnsi="宋体"/>
          <w:color w:val="000000"/>
          <w:sz w:val="24"/>
          <w:szCs w:val="24"/>
        </w:rPr>
        <w:t>2</w:t>
      </w:r>
      <w:r w:rsidRPr="00607F82">
        <w:rPr>
          <w:rFonts w:ascii="宋体" w:eastAsia="宋体" w:hAnsi="宋体" w:hint="eastAsia"/>
          <w:color w:val="000000"/>
          <w:sz w:val="24"/>
          <w:szCs w:val="24"/>
        </w:rPr>
        <w:t>月</w:t>
      </w:r>
      <w:r w:rsidR="00091DC7">
        <w:rPr>
          <w:rFonts w:ascii="宋体" w:eastAsia="宋体" w:hAnsi="宋体"/>
          <w:color w:val="000000"/>
          <w:sz w:val="24"/>
          <w:szCs w:val="24"/>
        </w:rPr>
        <w:t>18</w:t>
      </w:r>
      <w:r w:rsidRPr="00607F82">
        <w:rPr>
          <w:rFonts w:ascii="宋体" w:eastAsia="宋体" w:hAnsi="宋体" w:hint="eastAsia"/>
          <w:color w:val="000000"/>
          <w:sz w:val="24"/>
          <w:szCs w:val="24"/>
        </w:rPr>
        <w:t>日公告的相关业务限制，具体内容为：</w:t>
      </w:r>
      <w:r w:rsidR="003C35E2" w:rsidRPr="00EE4357">
        <w:rPr>
          <w:rFonts w:ascii="宋体" w:eastAsia="宋体" w:hAnsi="宋体"/>
          <w:color w:val="000000"/>
          <w:sz w:val="24"/>
          <w:szCs w:val="24"/>
        </w:rPr>
        <w:t>如单个基金账户每一开放日申购（转换转入、定期定额投资）累计超过</w:t>
      </w:r>
      <w:r w:rsidR="00597482">
        <w:rPr>
          <w:rFonts w:ascii="宋体" w:eastAsia="宋体" w:hAnsi="宋体"/>
          <w:color w:val="000000"/>
          <w:sz w:val="24"/>
          <w:szCs w:val="24"/>
        </w:rPr>
        <w:t>5</w:t>
      </w:r>
      <w:r w:rsidR="00597482" w:rsidRPr="00EE4357">
        <w:rPr>
          <w:rFonts w:ascii="宋体" w:eastAsia="宋体" w:hAnsi="宋体"/>
          <w:color w:val="000000"/>
          <w:sz w:val="24"/>
          <w:szCs w:val="24"/>
        </w:rPr>
        <w:t>,000万</w:t>
      </w:r>
      <w:r w:rsidR="003C35E2" w:rsidRPr="00EE4357">
        <w:rPr>
          <w:rFonts w:ascii="宋体" w:eastAsia="宋体" w:hAnsi="宋体"/>
          <w:color w:val="000000"/>
          <w:sz w:val="24"/>
          <w:szCs w:val="24"/>
        </w:rPr>
        <w:t>元（A类和B类份额合并计算），本基金管理人有权</w:t>
      </w:r>
      <w:r w:rsidR="003C35E2">
        <w:rPr>
          <w:rFonts w:ascii="宋体" w:eastAsia="宋体" w:hAnsi="宋体"/>
          <w:color w:val="000000"/>
          <w:sz w:val="24"/>
          <w:szCs w:val="24"/>
        </w:rPr>
        <w:t>选择</w:t>
      </w:r>
      <w:r w:rsidR="003C35E2" w:rsidRPr="00EE4357">
        <w:rPr>
          <w:rFonts w:ascii="宋体" w:eastAsia="宋体" w:hAnsi="宋体"/>
          <w:color w:val="000000"/>
          <w:sz w:val="24"/>
          <w:szCs w:val="24"/>
        </w:rPr>
        <w:t>拒绝</w:t>
      </w:r>
      <w:r w:rsidR="00345D18"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:rsidR="00415E7D" w:rsidRPr="00607F82" w:rsidRDefault="00914895" w:rsidP="00093A83">
      <w:pPr>
        <w:spacing w:line="360" w:lineRule="auto"/>
        <w:ind w:firstLineChars="200" w:firstLine="504"/>
        <w:rPr>
          <w:rFonts w:ascii="宋体" w:eastAsia="宋体" w:hAnsi="宋体" w:hint="eastAsia"/>
          <w:color w:val="000000"/>
          <w:sz w:val="24"/>
          <w:szCs w:val="24"/>
        </w:rPr>
      </w:pPr>
      <w:r w:rsidRPr="00607F82">
        <w:rPr>
          <w:rFonts w:ascii="宋体" w:eastAsia="宋体" w:hAnsi="宋体" w:hint="eastAsia"/>
          <w:color w:val="000000"/>
          <w:kern w:val="0"/>
          <w:sz w:val="24"/>
          <w:szCs w:val="24"/>
        </w:rPr>
        <w:t>（3）</w:t>
      </w:r>
      <w:r w:rsidR="00415E7D" w:rsidRPr="00607F82">
        <w:rPr>
          <w:rFonts w:ascii="宋体" w:eastAsia="宋体" w:hAnsi="宋体"/>
          <w:color w:val="000000"/>
          <w:kern w:val="0"/>
          <w:sz w:val="24"/>
          <w:szCs w:val="24"/>
        </w:rPr>
        <w:t>敬请投资者做好交易安排。详</w:t>
      </w:r>
      <w:r w:rsidR="00415E7D" w:rsidRPr="00607F82">
        <w:rPr>
          <w:rFonts w:ascii="宋体" w:eastAsia="宋体" w:hAnsi="宋体" w:hint="eastAsia"/>
          <w:color w:val="000000"/>
          <w:kern w:val="0"/>
          <w:sz w:val="24"/>
          <w:szCs w:val="24"/>
        </w:rPr>
        <w:t>情</w:t>
      </w:r>
      <w:r w:rsidR="00415E7D" w:rsidRPr="00607F82">
        <w:rPr>
          <w:rFonts w:ascii="宋体" w:eastAsia="宋体" w:hAnsi="宋体"/>
          <w:color w:val="000000"/>
          <w:kern w:val="0"/>
          <w:sz w:val="24"/>
          <w:szCs w:val="24"/>
        </w:rPr>
        <w:t>请登陆本公司网站（</w:t>
      </w:r>
      <w:r w:rsidR="00F50301" w:rsidRPr="00F50301">
        <w:rPr>
          <w:rFonts w:ascii="宋体" w:eastAsia="宋体" w:hAnsi="宋体"/>
          <w:kern w:val="0"/>
          <w:sz w:val="24"/>
          <w:szCs w:val="24"/>
        </w:rPr>
        <w:t>www.ubssdic.com</w:t>
      </w:r>
      <w:r w:rsidR="00415E7D" w:rsidRPr="00607F82">
        <w:rPr>
          <w:rFonts w:ascii="宋体" w:eastAsia="宋体" w:hAnsi="宋体"/>
          <w:color w:val="000000"/>
          <w:kern w:val="0"/>
          <w:sz w:val="24"/>
          <w:szCs w:val="24"/>
        </w:rPr>
        <w:t>）或拨打本公司客服电话（400-880-6868）。</w:t>
      </w:r>
    </w:p>
    <w:p w:rsidR="00C06DE1" w:rsidRDefault="00C06DE1" w:rsidP="000E14F5">
      <w:pPr>
        <w:spacing w:line="360" w:lineRule="auto"/>
        <w:rPr>
          <w:rFonts w:hint="eastAsia"/>
        </w:rPr>
      </w:pPr>
    </w:p>
    <w:sectPr w:rsidR="00C06DE1" w:rsidSect="003848E1">
      <w:footerReference w:type="default" r:id="rId8"/>
      <w:pgSz w:w="11907" w:h="16840"/>
      <w:pgMar w:top="2098" w:right="1588" w:bottom="1843" w:left="1588" w:header="851" w:footer="1440" w:gutter="0"/>
      <w:cols w:space="720"/>
      <w:docGrid w:type="linesAndChars" w:linePitch="574" w:charSpace="24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AC0" w:rsidRDefault="00875AC0">
      <w:r>
        <w:separator/>
      </w:r>
    </w:p>
  </w:endnote>
  <w:endnote w:type="continuationSeparator" w:id="0">
    <w:p w:rsidR="00875AC0" w:rsidRDefault="00875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方正舒体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670" w:rsidRDefault="00E86670">
    <w:pPr>
      <w:pStyle w:val="af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AC0" w:rsidRDefault="00875AC0">
      <w:r>
        <w:separator/>
      </w:r>
    </w:p>
  </w:footnote>
  <w:footnote w:type="continuationSeparator" w:id="0">
    <w:p w:rsidR="00875AC0" w:rsidRDefault="00875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japaneseCounting"/>
      <w:lvlText w:val="（%1）"/>
      <w:lvlJc w:val="left"/>
      <w:pPr>
        <w:tabs>
          <w:tab w:val="num" w:pos="2013"/>
        </w:tabs>
        <w:ind w:left="2013" w:hanging="10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773"/>
        </w:tabs>
        <w:ind w:left="1773" w:hanging="420"/>
      </w:pPr>
    </w:lvl>
    <w:lvl w:ilvl="2">
      <w:start w:val="1"/>
      <w:numFmt w:val="lowerRoman"/>
      <w:lvlText w:val="%3."/>
      <w:lvlJc w:val="right"/>
      <w:pPr>
        <w:tabs>
          <w:tab w:val="num" w:pos="2193"/>
        </w:tabs>
        <w:ind w:left="2193" w:hanging="420"/>
      </w:pPr>
    </w:lvl>
    <w:lvl w:ilvl="3">
      <w:start w:val="1"/>
      <w:numFmt w:val="decimal"/>
      <w:lvlText w:val="%4."/>
      <w:lvlJc w:val="left"/>
      <w:pPr>
        <w:tabs>
          <w:tab w:val="num" w:pos="2613"/>
        </w:tabs>
        <w:ind w:left="2613" w:hanging="420"/>
      </w:pPr>
    </w:lvl>
    <w:lvl w:ilvl="4">
      <w:start w:val="1"/>
      <w:numFmt w:val="lowerLetter"/>
      <w:lvlText w:val="%5)"/>
      <w:lvlJc w:val="left"/>
      <w:pPr>
        <w:tabs>
          <w:tab w:val="num" w:pos="3033"/>
        </w:tabs>
        <w:ind w:left="3033" w:hanging="420"/>
      </w:pPr>
    </w:lvl>
    <w:lvl w:ilvl="5">
      <w:start w:val="1"/>
      <w:numFmt w:val="lowerRoman"/>
      <w:lvlText w:val="%6."/>
      <w:lvlJc w:val="right"/>
      <w:pPr>
        <w:tabs>
          <w:tab w:val="num" w:pos="3453"/>
        </w:tabs>
        <w:ind w:left="3453" w:hanging="420"/>
      </w:pPr>
    </w:lvl>
    <w:lvl w:ilvl="6">
      <w:start w:val="1"/>
      <w:numFmt w:val="decimal"/>
      <w:lvlText w:val="%7."/>
      <w:lvlJc w:val="left"/>
      <w:pPr>
        <w:tabs>
          <w:tab w:val="num" w:pos="3873"/>
        </w:tabs>
        <w:ind w:left="3873" w:hanging="420"/>
      </w:pPr>
    </w:lvl>
    <w:lvl w:ilvl="7">
      <w:start w:val="1"/>
      <w:numFmt w:val="lowerLetter"/>
      <w:lvlText w:val="%8)"/>
      <w:lvlJc w:val="left"/>
      <w:pPr>
        <w:tabs>
          <w:tab w:val="num" w:pos="4293"/>
        </w:tabs>
        <w:ind w:left="4293" w:hanging="420"/>
      </w:pPr>
    </w:lvl>
    <w:lvl w:ilvl="8">
      <w:start w:val="1"/>
      <w:numFmt w:val="lowerRoman"/>
      <w:lvlText w:val="%9."/>
      <w:lvlJc w:val="right"/>
      <w:pPr>
        <w:tabs>
          <w:tab w:val="num" w:pos="4713"/>
        </w:tabs>
        <w:ind w:left="4713" w:hanging="420"/>
      </w:pPr>
    </w:lvl>
  </w:abstractNum>
  <w:abstractNum w:abstractNumId="1">
    <w:nsid w:val="00000005"/>
    <w:multiLevelType w:val="multilevel"/>
    <w:tmpl w:val="00000005"/>
    <w:lvl w:ilvl="0">
      <w:start w:val="1"/>
      <w:numFmt w:val="chineseCountingThousand"/>
      <w:lvlText w:val="第%1条"/>
      <w:lvlJc w:val="left"/>
      <w:pPr>
        <w:tabs>
          <w:tab w:val="num" w:pos="1440"/>
        </w:tabs>
        <w:ind w:left="0" w:firstLine="0"/>
      </w:pPr>
      <w:rPr>
        <w:rFonts w:hint="eastAsia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6"/>
    <w:multiLevelType w:val="singleLevel"/>
    <w:tmpl w:val="00000006"/>
    <w:lvl w:ilvl="0">
      <w:start w:val="1"/>
      <w:numFmt w:val="japaneseCounting"/>
      <w:lvlText w:val="%1、"/>
      <w:lvlJc w:val="left"/>
      <w:pPr>
        <w:tabs>
          <w:tab w:val="num" w:pos="1320"/>
        </w:tabs>
        <w:ind w:left="1320" w:hanging="660"/>
      </w:pPr>
      <w:rPr>
        <w:rFonts w:hint="eastAsia"/>
      </w:rPr>
    </w:lvl>
  </w:abstractNum>
  <w:abstractNum w:abstractNumId="3">
    <w:nsid w:val="307D6851"/>
    <w:multiLevelType w:val="hybridMultilevel"/>
    <w:tmpl w:val="667036A2"/>
    <w:lvl w:ilvl="0" w:tplc="696A8D88">
      <w:start w:val="1"/>
      <w:numFmt w:val="decimal"/>
      <w:lvlText w:val="（%1）"/>
      <w:lvlJc w:val="left"/>
      <w:pPr>
        <w:ind w:left="72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B5C1424"/>
    <w:multiLevelType w:val="hybridMultilevel"/>
    <w:tmpl w:val="A97A4B00"/>
    <w:lvl w:ilvl="0" w:tplc="94AC37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grammar="clean"/>
  <w:attachedTemplate r:id="rId1"/>
  <w:stylePaneFormatFilter w:val="3F01"/>
  <w:doNotTrackMoves/>
  <w:defaultTabStop w:val="425"/>
  <w:drawingGridHorizontalSpacing w:val="311"/>
  <w:drawingGridVerticalSpacing w:val="28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lignTablesRowByRow/>
    <w:doNotUseHTMLParagraphAutoSpacing/>
    <w:doNotBreakWrappedTab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4FDD"/>
    <w:rsid w:val="00043A19"/>
    <w:rsid w:val="000669DE"/>
    <w:rsid w:val="000716CA"/>
    <w:rsid w:val="00075754"/>
    <w:rsid w:val="00080E08"/>
    <w:rsid w:val="000877EF"/>
    <w:rsid w:val="000901A2"/>
    <w:rsid w:val="00091DC7"/>
    <w:rsid w:val="00093A83"/>
    <w:rsid w:val="00093F86"/>
    <w:rsid w:val="0009667D"/>
    <w:rsid w:val="00097450"/>
    <w:rsid w:val="000A5A8E"/>
    <w:rsid w:val="000B6CED"/>
    <w:rsid w:val="000B6EB0"/>
    <w:rsid w:val="000C16A2"/>
    <w:rsid w:val="000C5043"/>
    <w:rsid w:val="000D3F31"/>
    <w:rsid w:val="000E14F5"/>
    <w:rsid w:val="000F3843"/>
    <w:rsid w:val="000F3C9F"/>
    <w:rsid w:val="00106A8D"/>
    <w:rsid w:val="001170A5"/>
    <w:rsid w:val="00121020"/>
    <w:rsid w:val="00124203"/>
    <w:rsid w:val="0015584E"/>
    <w:rsid w:val="00167259"/>
    <w:rsid w:val="001858C3"/>
    <w:rsid w:val="001C402D"/>
    <w:rsid w:val="001D1825"/>
    <w:rsid w:val="001D4DE5"/>
    <w:rsid w:val="001E4E64"/>
    <w:rsid w:val="001E522F"/>
    <w:rsid w:val="001E6C9C"/>
    <w:rsid w:val="001F17E7"/>
    <w:rsid w:val="00210AA3"/>
    <w:rsid w:val="00221E89"/>
    <w:rsid w:val="002518BF"/>
    <w:rsid w:val="0026173F"/>
    <w:rsid w:val="00267443"/>
    <w:rsid w:val="00275694"/>
    <w:rsid w:val="00276928"/>
    <w:rsid w:val="002A65AB"/>
    <w:rsid w:val="002B6FFC"/>
    <w:rsid w:val="002B7ECB"/>
    <w:rsid w:val="002E4AA7"/>
    <w:rsid w:val="002F008C"/>
    <w:rsid w:val="002F052D"/>
    <w:rsid w:val="002F551A"/>
    <w:rsid w:val="002F5846"/>
    <w:rsid w:val="003149F4"/>
    <w:rsid w:val="00316975"/>
    <w:rsid w:val="00317047"/>
    <w:rsid w:val="00322731"/>
    <w:rsid w:val="00333D3F"/>
    <w:rsid w:val="003361E5"/>
    <w:rsid w:val="00342FB9"/>
    <w:rsid w:val="00345773"/>
    <w:rsid w:val="00345D18"/>
    <w:rsid w:val="00354F80"/>
    <w:rsid w:val="00373FDD"/>
    <w:rsid w:val="003848E1"/>
    <w:rsid w:val="003941DA"/>
    <w:rsid w:val="003A696C"/>
    <w:rsid w:val="003B51BB"/>
    <w:rsid w:val="003B6233"/>
    <w:rsid w:val="003B6948"/>
    <w:rsid w:val="003C35E2"/>
    <w:rsid w:val="003F12F4"/>
    <w:rsid w:val="00404FBF"/>
    <w:rsid w:val="00405D9E"/>
    <w:rsid w:val="00412076"/>
    <w:rsid w:val="00413A9C"/>
    <w:rsid w:val="00414774"/>
    <w:rsid w:val="00415E7D"/>
    <w:rsid w:val="00472EC5"/>
    <w:rsid w:val="004A4B55"/>
    <w:rsid w:val="004B1A04"/>
    <w:rsid w:val="004B31F9"/>
    <w:rsid w:val="004C5089"/>
    <w:rsid w:val="004C52D1"/>
    <w:rsid w:val="004F03B3"/>
    <w:rsid w:val="004F70C6"/>
    <w:rsid w:val="00512AED"/>
    <w:rsid w:val="0051442A"/>
    <w:rsid w:val="0052417F"/>
    <w:rsid w:val="00524365"/>
    <w:rsid w:val="00545D70"/>
    <w:rsid w:val="005504F2"/>
    <w:rsid w:val="0055117B"/>
    <w:rsid w:val="00556408"/>
    <w:rsid w:val="0057542A"/>
    <w:rsid w:val="00595E76"/>
    <w:rsid w:val="00597482"/>
    <w:rsid w:val="005A16D3"/>
    <w:rsid w:val="005B0F05"/>
    <w:rsid w:val="005B18B1"/>
    <w:rsid w:val="005B3406"/>
    <w:rsid w:val="005B4043"/>
    <w:rsid w:val="005C1CC0"/>
    <w:rsid w:val="005E3C81"/>
    <w:rsid w:val="005F10D0"/>
    <w:rsid w:val="00607F82"/>
    <w:rsid w:val="00611B2A"/>
    <w:rsid w:val="0062693A"/>
    <w:rsid w:val="00633935"/>
    <w:rsid w:val="006412E4"/>
    <w:rsid w:val="006430A4"/>
    <w:rsid w:val="00647B45"/>
    <w:rsid w:val="006540A7"/>
    <w:rsid w:val="00657F6D"/>
    <w:rsid w:val="00657F8E"/>
    <w:rsid w:val="00666774"/>
    <w:rsid w:val="00674F81"/>
    <w:rsid w:val="00680834"/>
    <w:rsid w:val="0069178E"/>
    <w:rsid w:val="00692368"/>
    <w:rsid w:val="006A4B6C"/>
    <w:rsid w:val="006A53C2"/>
    <w:rsid w:val="006B4B71"/>
    <w:rsid w:val="006D0C77"/>
    <w:rsid w:val="00701D8C"/>
    <w:rsid w:val="00710696"/>
    <w:rsid w:val="00711CC3"/>
    <w:rsid w:val="007160ED"/>
    <w:rsid w:val="007233C9"/>
    <w:rsid w:val="007273CD"/>
    <w:rsid w:val="00733AA4"/>
    <w:rsid w:val="00734D02"/>
    <w:rsid w:val="007410C3"/>
    <w:rsid w:val="00750A7D"/>
    <w:rsid w:val="0076245E"/>
    <w:rsid w:val="0076516A"/>
    <w:rsid w:val="00767341"/>
    <w:rsid w:val="00772BCE"/>
    <w:rsid w:val="00780237"/>
    <w:rsid w:val="00786B02"/>
    <w:rsid w:val="007A1E0B"/>
    <w:rsid w:val="007B5610"/>
    <w:rsid w:val="007E1122"/>
    <w:rsid w:val="007E424F"/>
    <w:rsid w:val="007E4483"/>
    <w:rsid w:val="00823E66"/>
    <w:rsid w:val="0082467F"/>
    <w:rsid w:val="00827458"/>
    <w:rsid w:val="00827C76"/>
    <w:rsid w:val="00843A07"/>
    <w:rsid w:val="00856C2A"/>
    <w:rsid w:val="008749B7"/>
    <w:rsid w:val="00875AC0"/>
    <w:rsid w:val="00882900"/>
    <w:rsid w:val="00897646"/>
    <w:rsid w:val="008B31C4"/>
    <w:rsid w:val="008B41CD"/>
    <w:rsid w:val="008C1EA9"/>
    <w:rsid w:val="008E180D"/>
    <w:rsid w:val="009011F3"/>
    <w:rsid w:val="00914895"/>
    <w:rsid w:val="00926D1F"/>
    <w:rsid w:val="009304FB"/>
    <w:rsid w:val="009466FB"/>
    <w:rsid w:val="00950DC3"/>
    <w:rsid w:val="00960D93"/>
    <w:rsid w:val="00965EDC"/>
    <w:rsid w:val="00973AC7"/>
    <w:rsid w:val="00995A3A"/>
    <w:rsid w:val="009B62E0"/>
    <w:rsid w:val="009C2599"/>
    <w:rsid w:val="009D5F12"/>
    <w:rsid w:val="00A01659"/>
    <w:rsid w:val="00A101C4"/>
    <w:rsid w:val="00A11A4B"/>
    <w:rsid w:val="00A15A24"/>
    <w:rsid w:val="00A2135B"/>
    <w:rsid w:val="00A2213C"/>
    <w:rsid w:val="00A24984"/>
    <w:rsid w:val="00A412AB"/>
    <w:rsid w:val="00A604AD"/>
    <w:rsid w:val="00A74255"/>
    <w:rsid w:val="00A90F01"/>
    <w:rsid w:val="00AA0FD1"/>
    <w:rsid w:val="00AA2BCB"/>
    <w:rsid w:val="00AA541C"/>
    <w:rsid w:val="00AC0BF1"/>
    <w:rsid w:val="00AD2737"/>
    <w:rsid w:val="00AE69F7"/>
    <w:rsid w:val="00AF1726"/>
    <w:rsid w:val="00B02FB5"/>
    <w:rsid w:val="00B12122"/>
    <w:rsid w:val="00B31E56"/>
    <w:rsid w:val="00B42B10"/>
    <w:rsid w:val="00B7257D"/>
    <w:rsid w:val="00B85119"/>
    <w:rsid w:val="00BB2E59"/>
    <w:rsid w:val="00BC5353"/>
    <w:rsid w:val="00BD016C"/>
    <w:rsid w:val="00BD04BB"/>
    <w:rsid w:val="00BD7688"/>
    <w:rsid w:val="00BE03C6"/>
    <w:rsid w:val="00BE1718"/>
    <w:rsid w:val="00BF283A"/>
    <w:rsid w:val="00BF6956"/>
    <w:rsid w:val="00C048A6"/>
    <w:rsid w:val="00C06DE1"/>
    <w:rsid w:val="00C22605"/>
    <w:rsid w:val="00C274F4"/>
    <w:rsid w:val="00C32CB9"/>
    <w:rsid w:val="00C359CE"/>
    <w:rsid w:val="00C51DB6"/>
    <w:rsid w:val="00C64EC2"/>
    <w:rsid w:val="00C7010B"/>
    <w:rsid w:val="00C914DA"/>
    <w:rsid w:val="00CD1DCA"/>
    <w:rsid w:val="00CD2232"/>
    <w:rsid w:val="00CD7621"/>
    <w:rsid w:val="00CF229A"/>
    <w:rsid w:val="00D32E54"/>
    <w:rsid w:val="00D36E6B"/>
    <w:rsid w:val="00D403AB"/>
    <w:rsid w:val="00D43A19"/>
    <w:rsid w:val="00D46796"/>
    <w:rsid w:val="00D55424"/>
    <w:rsid w:val="00D7272C"/>
    <w:rsid w:val="00D93B94"/>
    <w:rsid w:val="00DA2770"/>
    <w:rsid w:val="00DA4541"/>
    <w:rsid w:val="00DC1855"/>
    <w:rsid w:val="00DD4CA1"/>
    <w:rsid w:val="00DD636B"/>
    <w:rsid w:val="00DD7CD5"/>
    <w:rsid w:val="00DE47FF"/>
    <w:rsid w:val="00DE6B92"/>
    <w:rsid w:val="00E0756B"/>
    <w:rsid w:val="00E144CE"/>
    <w:rsid w:val="00E22E98"/>
    <w:rsid w:val="00E232AF"/>
    <w:rsid w:val="00E268DD"/>
    <w:rsid w:val="00E268F1"/>
    <w:rsid w:val="00E432AE"/>
    <w:rsid w:val="00E43BE5"/>
    <w:rsid w:val="00E504E5"/>
    <w:rsid w:val="00E56A77"/>
    <w:rsid w:val="00E6359A"/>
    <w:rsid w:val="00E66183"/>
    <w:rsid w:val="00E82CFD"/>
    <w:rsid w:val="00E83957"/>
    <w:rsid w:val="00E86670"/>
    <w:rsid w:val="00EA24F5"/>
    <w:rsid w:val="00EA2708"/>
    <w:rsid w:val="00EB0344"/>
    <w:rsid w:val="00EB2981"/>
    <w:rsid w:val="00EB7A64"/>
    <w:rsid w:val="00EE2383"/>
    <w:rsid w:val="00EE41B1"/>
    <w:rsid w:val="00EF0C60"/>
    <w:rsid w:val="00F158E4"/>
    <w:rsid w:val="00F26651"/>
    <w:rsid w:val="00F40335"/>
    <w:rsid w:val="00F42B6E"/>
    <w:rsid w:val="00F4350A"/>
    <w:rsid w:val="00F47652"/>
    <w:rsid w:val="00F50301"/>
    <w:rsid w:val="00F50CE0"/>
    <w:rsid w:val="00F5186D"/>
    <w:rsid w:val="00F62CA6"/>
    <w:rsid w:val="00F737A9"/>
    <w:rsid w:val="00F82395"/>
    <w:rsid w:val="00F83F17"/>
    <w:rsid w:val="00F9600A"/>
    <w:rsid w:val="00FB78D6"/>
    <w:rsid w:val="00FC3BCC"/>
    <w:rsid w:val="00FC3EE6"/>
    <w:rsid w:val="00FD0733"/>
    <w:rsid w:val="00FE2C62"/>
    <w:rsid w:val="00FF537E"/>
    <w:rsid w:val="00FF6AB2"/>
    <w:rsid w:val="00FF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="宋体"/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rPr>
      <w:vertAlign w:val="superscript"/>
    </w:rPr>
  </w:style>
  <w:style w:type="character" w:customStyle="1" w:styleId="Char">
    <w:name w:val="批注文字 Char"/>
    <w:rPr>
      <w:rFonts w:eastAsia="宋体"/>
      <w:kern w:val="2"/>
      <w:sz w:val="21"/>
      <w:lang w:val="en-US" w:eastAsia="zh-CN"/>
    </w:rPr>
  </w:style>
  <w:style w:type="character" w:styleId="a4">
    <w:name w:val="endnote reference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2Char">
    <w:name w:val="标题 2 Char"/>
    <w:rPr>
      <w:rFonts w:ascii="Arial" w:eastAsia="黑体" w:hAnsi="Arial"/>
      <w:b/>
      <w:kern w:val="2"/>
      <w:sz w:val="32"/>
      <w:lang w:val="en-US" w:eastAsia="zh-CN"/>
    </w:rPr>
  </w:style>
  <w:style w:type="character" w:styleId="a6">
    <w:name w:val="page number"/>
    <w:basedOn w:val="a0"/>
  </w:style>
  <w:style w:type="character" w:styleId="a7">
    <w:name w:val="Strong"/>
    <w:qFormat/>
    <w:rPr>
      <w:b/>
    </w:rPr>
  </w:style>
  <w:style w:type="character" w:styleId="a8">
    <w:name w:val="annotation reference"/>
    <w:rPr>
      <w:sz w:val="21"/>
    </w:rPr>
  </w:style>
  <w:style w:type="character" w:customStyle="1" w:styleId="Char0">
    <w:name w:val="正文文本 Char"/>
    <w:rPr>
      <w:rFonts w:eastAsia="方正仿宋简体"/>
      <w:kern w:val="2"/>
      <w:sz w:val="32"/>
      <w:lang w:val="en-US" w:eastAsia="zh-CN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right"/>
    </w:pPr>
    <w:rPr>
      <w:rFonts w:eastAsia="Arial Unicode MS"/>
      <w:kern w:val="0"/>
      <w:sz w:val="21"/>
    </w:rPr>
  </w:style>
  <w:style w:type="paragraph" w:styleId="10">
    <w:name w:val="toc 1"/>
    <w:basedOn w:val="a"/>
    <w:next w:val="a"/>
    <w:rPr>
      <w:rFonts w:eastAsia="宋体"/>
      <w:sz w:val="21"/>
    </w:rPr>
  </w:style>
  <w:style w:type="paragraph" w:customStyle="1" w:styleId="CharChar1Char">
    <w:name w:val=" Char Char1 Char"/>
    <w:basedOn w:val="a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lang w:eastAsia="en-US"/>
    </w:rPr>
  </w:style>
  <w:style w:type="paragraph" w:styleId="a9">
    <w:name w:val="annotation subject"/>
    <w:basedOn w:val="aa"/>
    <w:next w:val="aa"/>
    <w:rPr>
      <w:b/>
    </w:rPr>
  </w:style>
  <w:style w:type="paragraph" w:styleId="ab">
    <w:name w:val="Body Text Indent"/>
    <w:basedOn w:val="a"/>
    <w:pPr>
      <w:spacing w:after="120"/>
      <w:ind w:leftChars="200" w:left="420"/>
    </w:p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</w:rPr>
  </w:style>
  <w:style w:type="paragraph" w:styleId="ac">
    <w:name w:val="Date"/>
    <w:basedOn w:val="a"/>
    <w:next w:val="a"/>
    <w:rPr>
      <w:rFonts w:ascii="宋体" w:eastAsia="宋体"/>
    </w:rPr>
  </w:style>
  <w:style w:type="paragraph" w:customStyle="1" w:styleId="Char1">
    <w:name w:val="Char"/>
    <w:basedOn w:val="a"/>
    <w:pPr>
      <w:tabs>
        <w:tab w:val="left" w:pos="360"/>
      </w:tabs>
    </w:pPr>
    <w:rPr>
      <w:rFonts w:eastAsia="宋体"/>
      <w:sz w:val="24"/>
    </w:rPr>
  </w:style>
  <w:style w:type="paragraph" w:customStyle="1" w:styleId="ad">
    <w:name w:val="附录款(一)"/>
    <w:basedOn w:val="a"/>
    <w:pPr>
      <w:spacing w:line="360" w:lineRule="auto"/>
    </w:pPr>
    <w:rPr>
      <w:rFonts w:eastAsia="宋体"/>
      <w:sz w:val="24"/>
    </w:rPr>
  </w:style>
  <w:style w:type="paragraph" w:customStyle="1" w:styleId="ParaChar">
    <w:name w:val="默认段落字体 Para Char"/>
    <w:basedOn w:val="a"/>
    <w:pPr>
      <w:numPr>
        <w:numId w:val="1"/>
      </w:numPr>
      <w:tabs>
        <w:tab w:val="left" w:pos="2013"/>
      </w:tabs>
      <w:spacing w:before="312" w:after="312" w:line="360" w:lineRule="auto"/>
    </w:pPr>
    <w:rPr>
      <w:rFonts w:eastAsia="宋体"/>
      <w:sz w:val="24"/>
    </w:rPr>
  </w:style>
  <w:style w:type="paragraph" w:styleId="20">
    <w:name w:val="Body Text 2"/>
    <w:basedOn w:val="a"/>
    <w:pPr>
      <w:spacing w:line="360" w:lineRule="auto"/>
      <w:ind w:firstLine="720"/>
    </w:pPr>
    <w:rPr>
      <w:rFonts w:ascii="仿宋_GB2312" w:eastAsia="仿宋_GB2312"/>
      <w:sz w:val="28"/>
    </w:rPr>
  </w:style>
  <w:style w:type="paragraph" w:styleId="ae">
    <w:name w:val="Plain Text"/>
    <w:basedOn w:val="a"/>
    <w:rPr>
      <w:rFonts w:ascii="宋体" w:eastAsia="宋体" w:hAnsi="Courier New"/>
      <w:sz w:val="21"/>
    </w:rPr>
  </w:style>
  <w:style w:type="paragraph" w:styleId="aa">
    <w:name w:val="annotation text"/>
    <w:basedOn w:val="a"/>
    <w:pPr>
      <w:jc w:val="left"/>
    </w:pPr>
    <w:rPr>
      <w:rFonts w:eastAsia="宋体"/>
      <w:sz w:val="21"/>
    </w:rPr>
  </w:style>
  <w:style w:type="paragraph" w:customStyle="1" w:styleId="CharCharCharChar">
    <w:name w:val=" Char Char Char Char"/>
    <w:basedOn w:val="a"/>
    <w:rPr>
      <w:rFonts w:ascii="Tahoma" w:eastAsia="宋体" w:hAnsi="Tahoma"/>
      <w:sz w:val="24"/>
    </w:rPr>
  </w:style>
  <w:style w:type="paragraph" w:customStyle="1" w:styleId="CharCharCharCharCharCharCharCharChar">
    <w:name w:val=" Char Char Char Char Char Char Char Char Char"/>
    <w:basedOn w:val="a"/>
    <w:pPr>
      <w:numPr>
        <w:numId w:val="2"/>
      </w:numPr>
      <w:tabs>
        <w:tab w:val="left" w:pos="1320"/>
      </w:tabs>
    </w:pPr>
    <w:rPr>
      <w:rFonts w:eastAsia="宋体"/>
      <w:sz w:val="24"/>
    </w:rPr>
  </w:style>
  <w:style w:type="paragraph" w:styleId="af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0">
    <w:name w:val="正文条"/>
    <w:basedOn w:val="a"/>
    <w:pPr>
      <w:numPr>
        <w:numId w:val="3"/>
      </w:numPr>
      <w:tabs>
        <w:tab w:val="left" w:pos="1440"/>
      </w:tabs>
      <w:spacing w:line="360" w:lineRule="auto"/>
    </w:pPr>
    <w:rPr>
      <w:rFonts w:eastAsia="宋体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/>
      <w:color w:val="000000"/>
      <w:sz w:val="24"/>
    </w:rPr>
  </w:style>
  <w:style w:type="paragraph" w:customStyle="1" w:styleId="PlainText">
    <w:name w:val="Plain Text"/>
    <w:basedOn w:val="a"/>
    <w:pPr>
      <w:autoSpaceDE w:val="0"/>
      <w:autoSpaceDN w:val="0"/>
      <w:adjustRightInd w:val="0"/>
    </w:pPr>
    <w:rPr>
      <w:rFonts w:ascii="宋体" w:eastAsia="宋体" w:hint="eastAsia"/>
      <w:sz w:val="21"/>
    </w:rPr>
  </w:style>
  <w:style w:type="paragraph" w:styleId="af1">
    <w:name w:val="footnote text"/>
    <w:basedOn w:val="a"/>
    <w:pPr>
      <w:snapToGrid w:val="0"/>
      <w:jc w:val="left"/>
    </w:pPr>
    <w:rPr>
      <w:rFonts w:eastAsia="宋体"/>
      <w:sz w:val="18"/>
    </w:rPr>
  </w:style>
  <w:style w:type="paragraph" w:customStyle="1" w:styleId="Char1CharCharCharCharCharChar">
    <w:name w:val=" Char1 Char Char Char Char Char Char"/>
    <w:basedOn w:val="a"/>
    <w:rPr>
      <w:rFonts w:eastAsia="宋体"/>
      <w:sz w:val="21"/>
    </w:rPr>
  </w:style>
  <w:style w:type="paragraph" w:styleId="af2">
    <w:name w:val="Balloon Text"/>
    <w:basedOn w:val="a"/>
    <w:rPr>
      <w:sz w:val="18"/>
    </w:rPr>
  </w:style>
  <w:style w:type="paragraph" w:customStyle="1" w:styleId="CharCharCharCharCharCharChar">
    <w:name w:val=" Char Char Char Char Char Char Char"/>
    <w:basedOn w:val="a"/>
    <w:pPr>
      <w:tabs>
        <w:tab w:val="left" w:pos="360"/>
      </w:tabs>
    </w:pPr>
    <w:rPr>
      <w:rFonts w:eastAsia="宋体"/>
      <w:sz w:val="21"/>
    </w:rPr>
  </w:style>
  <w:style w:type="paragraph" w:customStyle="1" w:styleId="CharCharCharCharCharChar1CharCharChar">
    <w:name w:val=" Char Char Char Char Char Char1 Char Char Char"/>
    <w:basedOn w:val="a"/>
    <w:pPr>
      <w:autoSpaceDE w:val="0"/>
      <w:autoSpaceDN w:val="0"/>
      <w:adjustRightInd w:val="0"/>
      <w:jc w:val="left"/>
      <w:textAlignment w:val="baseline"/>
    </w:pPr>
  </w:style>
  <w:style w:type="paragraph" w:styleId="af3">
    <w:name w:val="Body Text"/>
    <w:basedOn w:val="a"/>
    <w:pPr>
      <w:spacing w:after="120"/>
    </w:pPr>
  </w:style>
  <w:style w:type="paragraph" w:customStyle="1" w:styleId="Char2">
    <w:name w:val=" Char"/>
    <w:basedOn w:val="a"/>
    <w:pPr>
      <w:tabs>
        <w:tab w:val="left" w:pos="360"/>
      </w:tabs>
      <w:spacing w:line="560" w:lineRule="exact"/>
    </w:pPr>
    <w:rPr>
      <w:rFonts w:eastAsia="宋体"/>
      <w:sz w:val="21"/>
    </w:rPr>
  </w:style>
  <w:style w:type="paragraph" w:styleId="af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1">
    <w:name w:val="toc 2"/>
    <w:basedOn w:val="a"/>
    <w:next w:val="a"/>
    <w:pPr>
      <w:ind w:leftChars="200" w:left="420"/>
    </w:pPr>
    <w:rPr>
      <w:rFonts w:eastAsia="宋体"/>
      <w:sz w:val="21"/>
    </w:rPr>
  </w:style>
  <w:style w:type="paragraph" w:styleId="af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paragraph" w:styleId="af6">
    <w:name w:val="endnote text"/>
    <w:basedOn w:val="a"/>
    <w:pPr>
      <w:snapToGrid w:val="0"/>
      <w:jc w:val="left"/>
    </w:pPr>
  </w:style>
  <w:style w:type="table" w:styleId="af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23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3317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67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585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0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20013;&#22269;&#35777;&#21048;&#30417;&#30563;&#31649;&#29702;&#22996;&#21592;&#20250;&#20196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2CE8-814B-4CFA-A6BD-33C038C3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中国证券监督管理委员会令</Template>
  <TotalTime>0</TotalTime>
  <Pages>2</Pages>
  <Words>124</Words>
  <Characters>707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>CSRC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证监机构字[1999]44号</dc:title>
  <dc:subject/>
  <dc:creator>123</dc:creator>
  <cp:keywords/>
  <cp:lastModifiedBy>ZHONGM</cp:lastModifiedBy>
  <cp:revision>2</cp:revision>
  <cp:lastPrinted>2010-11-24T09:24:00Z</cp:lastPrinted>
  <dcterms:created xsi:type="dcterms:W3CDTF">2020-09-24T16:16:00Z</dcterms:created>
  <dcterms:modified xsi:type="dcterms:W3CDTF">2020-09-24T16:16:00Z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