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0A0884" w:rsidRDefault="00893436" w:rsidP="00AC3CC5">
      <w:pPr>
        <w:widowControl/>
        <w:spacing w:line="360" w:lineRule="auto"/>
        <w:jc w:val="center"/>
        <w:rPr>
          <w:rFonts w:asciiTheme="minorEastAsia" w:eastAsiaTheme="minorEastAsia" w:hAnsiTheme="minorEastAsia" w:cs="宋体"/>
          <w:b/>
          <w:kern w:val="0"/>
          <w:sz w:val="28"/>
          <w:szCs w:val="28"/>
        </w:rPr>
      </w:pPr>
      <w:r w:rsidRPr="000A0884">
        <w:rPr>
          <w:rFonts w:asciiTheme="minorEastAsia" w:eastAsiaTheme="minorEastAsia" w:hAnsiTheme="minorEastAsia" w:cs="宋体" w:hint="eastAsia"/>
          <w:b/>
          <w:kern w:val="0"/>
          <w:sz w:val="28"/>
          <w:szCs w:val="28"/>
        </w:rPr>
        <w:t>国泰聚禾纯债债券型证券投资基金分红公告</w:t>
      </w:r>
    </w:p>
    <w:p w:rsidR="00893436" w:rsidRPr="000A0884" w:rsidRDefault="00893436" w:rsidP="00AC3CC5">
      <w:pPr>
        <w:spacing w:line="360" w:lineRule="auto"/>
        <w:jc w:val="center"/>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公告送出日期：</w:t>
      </w:r>
      <w:r w:rsidRPr="000A0884">
        <w:rPr>
          <w:rFonts w:asciiTheme="minorEastAsia" w:eastAsiaTheme="minorEastAsia" w:hAnsiTheme="minorEastAsia" w:cs="宋体"/>
          <w:bCs/>
          <w:sz w:val="21"/>
          <w:szCs w:val="21"/>
        </w:rPr>
        <w:t>2020年9月24日</w:t>
      </w:r>
    </w:p>
    <w:p w:rsidR="00893436" w:rsidRPr="000A0884" w:rsidRDefault="00893436" w:rsidP="00AC3CC5">
      <w:pPr>
        <w:pStyle w:val="2"/>
        <w:spacing w:line="360" w:lineRule="auto"/>
        <w:rPr>
          <w:rFonts w:asciiTheme="minorEastAsia" w:eastAsiaTheme="minorEastAsia" w:hAnsiTheme="minorEastAsia"/>
          <w:bCs w:val="0"/>
          <w:color w:val="000000"/>
          <w:sz w:val="21"/>
          <w:szCs w:val="21"/>
        </w:rPr>
      </w:pPr>
      <w:bookmarkStart w:id="0" w:name="_Toc275961418"/>
      <w:r w:rsidRPr="000A0884">
        <w:rPr>
          <w:rFonts w:asciiTheme="minorEastAsia" w:eastAsiaTheme="minorEastAsia" w:hAnsiTheme="minorEastAsia"/>
          <w:bCs w:val="0"/>
          <w:color w:val="000000"/>
          <w:sz w:val="21"/>
          <w:szCs w:val="21"/>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544"/>
        <w:gridCol w:w="4294"/>
      </w:tblGrid>
      <w:tr w:rsidR="0039192C" w:rsidRPr="000A0884" w:rsidTr="000A0884">
        <w:trPr>
          <w:jc w:val="center"/>
        </w:trPr>
        <w:tc>
          <w:tcPr>
            <w:tcW w:w="5345" w:type="dxa"/>
            <w:gridSpan w:val="2"/>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基金名称</w:t>
            </w:r>
          </w:p>
        </w:tc>
        <w:tc>
          <w:tcPr>
            <w:tcW w:w="4294" w:type="dxa"/>
            <w:vAlign w:val="center"/>
          </w:tcPr>
          <w:p w:rsidR="0039192C" w:rsidRPr="000A0884" w:rsidRDefault="0039192C"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国泰聚禾纯债债券型证券投资基金</w:t>
            </w:r>
          </w:p>
        </w:tc>
      </w:tr>
      <w:tr w:rsidR="0039192C" w:rsidRPr="000A0884" w:rsidTr="000A0884">
        <w:trPr>
          <w:jc w:val="center"/>
        </w:trPr>
        <w:tc>
          <w:tcPr>
            <w:tcW w:w="5345" w:type="dxa"/>
            <w:gridSpan w:val="2"/>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基金简称</w:t>
            </w:r>
          </w:p>
        </w:tc>
        <w:tc>
          <w:tcPr>
            <w:tcW w:w="4294" w:type="dxa"/>
            <w:vAlign w:val="center"/>
          </w:tcPr>
          <w:p w:rsidR="0039192C" w:rsidRPr="000A0884" w:rsidRDefault="0039192C"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国泰聚禾纯债债券</w:t>
            </w:r>
          </w:p>
        </w:tc>
      </w:tr>
      <w:tr w:rsidR="0039192C" w:rsidRPr="000A0884" w:rsidTr="000A0884">
        <w:trPr>
          <w:jc w:val="center"/>
        </w:trPr>
        <w:tc>
          <w:tcPr>
            <w:tcW w:w="5345" w:type="dxa"/>
            <w:gridSpan w:val="2"/>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基金主代码</w:t>
            </w:r>
          </w:p>
        </w:tc>
        <w:tc>
          <w:tcPr>
            <w:tcW w:w="4294" w:type="dxa"/>
            <w:vAlign w:val="center"/>
          </w:tcPr>
          <w:p w:rsidR="0039192C" w:rsidRPr="000A0884" w:rsidRDefault="0039192C"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006596</w:t>
            </w:r>
          </w:p>
        </w:tc>
      </w:tr>
      <w:tr w:rsidR="0039192C" w:rsidRPr="000A0884" w:rsidTr="000A0884">
        <w:trPr>
          <w:jc w:val="center"/>
        </w:trPr>
        <w:tc>
          <w:tcPr>
            <w:tcW w:w="5345" w:type="dxa"/>
            <w:gridSpan w:val="2"/>
            <w:vAlign w:val="center"/>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基金合同生效日</w:t>
            </w:r>
          </w:p>
        </w:tc>
        <w:tc>
          <w:tcPr>
            <w:tcW w:w="4294" w:type="dxa"/>
            <w:vAlign w:val="center"/>
          </w:tcPr>
          <w:p w:rsidR="0039192C" w:rsidRPr="000A0884" w:rsidRDefault="003E51F2"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2018年11月14日</w:t>
            </w:r>
          </w:p>
        </w:tc>
      </w:tr>
      <w:tr w:rsidR="0039192C" w:rsidRPr="000A0884" w:rsidTr="000A0884">
        <w:trPr>
          <w:jc w:val="center"/>
        </w:trPr>
        <w:tc>
          <w:tcPr>
            <w:tcW w:w="5345" w:type="dxa"/>
            <w:gridSpan w:val="2"/>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基金管理人名称</w:t>
            </w:r>
          </w:p>
        </w:tc>
        <w:tc>
          <w:tcPr>
            <w:tcW w:w="4294" w:type="dxa"/>
            <w:vAlign w:val="center"/>
          </w:tcPr>
          <w:p w:rsidR="0039192C" w:rsidRPr="000A0884" w:rsidRDefault="0039192C"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国泰基金管理有限公司</w:t>
            </w:r>
          </w:p>
        </w:tc>
      </w:tr>
      <w:tr w:rsidR="0039192C" w:rsidRPr="000A0884" w:rsidTr="000A0884">
        <w:trPr>
          <w:jc w:val="center"/>
        </w:trPr>
        <w:tc>
          <w:tcPr>
            <w:tcW w:w="5345" w:type="dxa"/>
            <w:gridSpan w:val="2"/>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基金托管人名称</w:t>
            </w:r>
          </w:p>
        </w:tc>
        <w:tc>
          <w:tcPr>
            <w:tcW w:w="4294" w:type="dxa"/>
            <w:vAlign w:val="center"/>
          </w:tcPr>
          <w:p w:rsidR="0039192C" w:rsidRPr="000A0884" w:rsidRDefault="0039192C"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江苏银行股份有限公司</w:t>
            </w:r>
          </w:p>
        </w:tc>
      </w:tr>
      <w:tr w:rsidR="0039192C" w:rsidRPr="000A0884" w:rsidTr="000A0884">
        <w:trPr>
          <w:jc w:val="center"/>
        </w:trPr>
        <w:tc>
          <w:tcPr>
            <w:tcW w:w="5345" w:type="dxa"/>
            <w:gridSpan w:val="2"/>
          </w:tcPr>
          <w:p w:rsidR="0039192C" w:rsidRPr="000A0884" w:rsidRDefault="0039192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公告依据</w:t>
            </w:r>
          </w:p>
        </w:tc>
        <w:tc>
          <w:tcPr>
            <w:tcW w:w="4294" w:type="dxa"/>
            <w:vAlign w:val="center"/>
          </w:tcPr>
          <w:p w:rsidR="0039192C" w:rsidRPr="000A0884" w:rsidRDefault="003D017E"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《中华人民共和国证券投资基金法》、《公开募集证券投资基金运作管理办法》、</w:t>
            </w:r>
            <w:r w:rsidR="008A17F1" w:rsidRPr="000A0884">
              <w:rPr>
                <w:rFonts w:asciiTheme="minorEastAsia" w:eastAsiaTheme="minorEastAsia" w:hAnsiTheme="minorEastAsia" w:hint="eastAsia"/>
                <w:sz w:val="21"/>
                <w:szCs w:val="21"/>
              </w:rPr>
              <w:t>《国泰聚禾纯债债券型证券投资基金基金合同》等</w:t>
            </w:r>
          </w:p>
        </w:tc>
      </w:tr>
      <w:tr w:rsidR="00893436" w:rsidRPr="000A0884" w:rsidTr="000A0884">
        <w:trPr>
          <w:jc w:val="center"/>
        </w:trPr>
        <w:tc>
          <w:tcPr>
            <w:tcW w:w="5345" w:type="dxa"/>
            <w:gridSpan w:val="2"/>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收益分配基准日</w:t>
            </w:r>
          </w:p>
        </w:tc>
        <w:tc>
          <w:tcPr>
            <w:tcW w:w="4294" w:type="dxa"/>
          </w:tcPr>
          <w:p w:rsidR="00893436" w:rsidRPr="000A0884" w:rsidRDefault="0039192C"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2020年9月21日</w:t>
            </w:r>
          </w:p>
        </w:tc>
      </w:tr>
      <w:tr w:rsidR="00893436" w:rsidRPr="000A0884" w:rsidTr="000A0884">
        <w:trPr>
          <w:jc w:val="center"/>
        </w:trPr>
        <w:tc>
          <w:tcPr>
            <w:tcW w:w="1801" w:type="dxa"/>
            <w:vMerge w:val="restart"/>
            <w:vAlign w:val="center"/>
          </w:tcPr>
          <w:p w:rsidR="00893436" w:rsidRPr="000A0884" w:rsidRDefault="00893436" w:rsidP="00AC3CC5">
            <w:pPr>
              <w:spacing w:line="360" w:lineRule="auto"/>
              <w:jc w:val="center"/>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截止收益分配基准日的相关指标</w:t>
            </w:r>
          </w:p>
        </w:tc>
        <w:tc>
          <w:tcPr>
            <w:tcW w:w="3544"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基准日基金份额净值</w:t>
            </w:r>
            <w:r w:rsidR="005439EC" w:rsidRPr="000A0884">
              <w:rPr>
                <w:rFonts w:asciiTheme="minorEastAsia" w:eastAsiaTheme="minorEastAsia" w:hAnsiTheme="minorEastAsia" w:hint="eastAsia"/>
                <w:sz w:val="21"/>
                <w:szCs w:val="21"/>
              </w:rPr>
              <w:t>（单位：</w:t>
            </w:r>
            <w:r w:rsidR="00F645EE" w:rsidRPr="000A0884">
              <w:rPr>
                <w:rFonts w:asciiTheme="minorEastAsia" w:eastAsiaTheme="minorEastAsia" w:hAnsiTheme="minorEastAsia" w:hint="eastAsia"/>
                <w:color w:val="000000"/>
                <w:kern w:val="0"/>
                <w:sz w:val="21"/>
                <w:szCs w:val="21"/>
              </w:rPr>
              <w:t>元</w:t>
            </w:r>
            <w:r w:rsidR="005439EC" w:rsidRPr="000A0884">
              <w:rPr>
                <w:rFonts w:asciiTheme="minorEastAsia" w:eastAsiaTheme="minorEastAsia" w:hAnsiTheme="minorEastAsia" w:hint="eastAsia"/>
                <w:sz w:val="21"/>
                <w:szCs w:val="21"/>
              </w:rPr>
              <w:t>）</w:t>
            </w:r>
          </w:p>
        </w:tc>
        <w:tc>
          <w:tcPr>
            <w:tcW w:w="4294" w:type="dxa"/>
          </w:tcPr>
          <w:p w:rsidR="00893436" w:rsidRPr="000A0884" w:rsidRDefault="003160F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1.0115</w:t>
            </w:r>
          </w:p>
        </w:tc>
      </w:tr>
      <w:tr w:rsidR="00893436" w:rsidRPr="000A0884" w:rsidTr="000A0884">
        <w:trPr>
          <w:jc w:val="center"/>
        </w:trPr>
        <w:tc>
          <w:tcPr>
            <w:tcW w:w="1801" w:type="dxa"/>
            <w:vMerge/>
          </w:tcPr>
          <w:p w:rsidR="00893436" w:rsidRPr="000A0884" w:rsidRDefault="00893436" w:rsidP="00AC3CC5">
            <w:pPr>
              <w:spacing w:line="360" w:lineRule="auto"/>
              <w:rPr>
                <w:rFonts w:asciiTheme="minorEastAsia" w:eastAsiaTheme="minorEastAsia" w:hAnsiTheme="minorEastAsia"/>
                <w:color w:val="000000"/>
                <w:sz w:val="21"/>
                <w:szCs w:val="21"/>
              </w:rPr>
            </w:pPr>
          </w:p>
        </w:tc>
        <w:tc>
          <w:tcPr>
            <w:tcW w:w="3544"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基准日基金可供分配利润</w:t>
            </w:r>
            <w:r w:rsidR="005439EC" w:rsidRPr="000A0884">
              <w:rPr>
                <w:rFonts w:asciiTheme="minorEastAsia" w:eastAsiaTheme="minorEastAsia" w:hAnsiTheme="minorEastAsia" w:hint="eastAsia"/>
                <w:sz w:val="21"/>
                <w:szCs w:val="21"/>
              </w:rPr>
              <w:t>（单位：</w:t>
            </w:r>
            <w:r w:rsidR="00F645EE" w:rsidRPr="000A0884">
              <w:rPr>
                <w:rFonts w:asciiTheme="minorEastAsia" w:eastAsiaTheme="minorEastAsia" w:hAnsiTheme="minorEastAsia" w:hint="eastAsia"/>
                <w:color w:val="000000"/>
                <w:kern w:val="0"/>
                <w:sz w:val="21"/>
                <w:szCs w:val="21"/>
              </w:rPr>
              <w:t>元</w:t>
            </w:r>
            <w:r w:rsidR="005439EC" w:rsidRPr="000A0884">
              <w:rPr>
                <w:rFonts w:asciiTheme="minorEastAsia" w:eastAsiaTheme="minorEastAsia" w:hAnsiTheme="minorEastAsia" w:hint="eastAsia"/>
                <w:sz w:val="21"/>
                <w:szCs w:val="21"/>
              </w:rPr>
              <w:t>）</w:t>
            </w:r>
          </w:p>
        </w:tc>
        <w:tc>
          <w:tcPr>
            <w:tcW w:w="4294" w:type="dxa"/>
          </w:tcPr>
          <w:p w:rsidR="00893436" w:rsidRPr="000A0884" w:rsidRDefault="003160F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25,088,247.10</w:t>
            </w:r>
          </w:p>
        </w:tc>
      </w:tr>
      <w:tr w:rsidR="00893436" w:rsidRPr="000A0884" w:rsidTr="000A0884">
        <w:trPr>
          <w:jc w:val="center"/>
        </w:trPr>
        <w:tc>
          <w:tcPr>
            <w:tcW w:w="5345" w:type="dxa"/>
            <w:gridSpan w:val="2"/>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本次分红方案（单位：元/10份基金份额）</w:t>
            </w:r>
          </w:p>
        </w:tc>
        <w:tc>
          <w:tcPr>
            <w:tcW w:w="4294" w:type="dxa"/>
          </w:tcPr>
          <w:p w:rsidR="00893436" w:rsidRPr="000A0884" w:rsidRDefault="009732A4"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0.114</w:t>
            </w:r>
          </w:p>
        </w:tc>
      </w:tr>
      <w:tr w:rsidR="00893436" w:rsidRPr="000A0884" w:rsidTr="000A0884">
        <w:trPr>
          <w:jc w:val="center"/>
        </w:trPr>
        <w:tc>
          <w:tcPr>
            <w:tcW w:w="5345" w:type="dxa"/>
            <w:gridSpan w:val="2"/>
            <w:vAlign w:val="center"/>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有关年度分红次数的说明</w:t>
            </w:r>
          </w:p>
        </w:tc>
        <w:tc>
          <w:tcPr>
            <w:tcW w:w="4294" w:type="dxa"/>
            <w:vAlign w:val="center"/>
          </w:tcPr>
          <w:p w:rsidR="00893436" w:rsidRPr="000A0884" w:rsidRDefault="009732A4"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本次分红为2020年度第二次分红。</w:t>
            </w:r>
          </w:p>
        </w:tc>
      </w:tr>
    </w:tbl>
    <w:p w:rsidR="003E5A37" w:rsidRPr="000A0884" w:rsidRDefault="003D017E">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注：（1）在符合有关基金分红条件的前提下，本基金管理人可以根据实际情况进行收益分配，具体分配方案以公告为准，若《基金合同》生效不满3个月可不进行收益分配；</w:t>
      </w:r>
    </w:p>
    <w:p w:rsidR="00893436" w:rsidRPr="000A0884" w:rsidRDefault="00F45E48" w:rsidP="001E1256">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（2）基金收益分配后基金份额净值不能低于面值，即基金收益分配基准日的基金份额净值减去每单位基金份额收益分配金额后不能低于面值。</w:t>
      </w:r>
    </w:p>
    <w:p w:rsidR="00893436" w:rsidRPr="000A0884" w:rsidRDefault="00893436" w:rsidP="00AC3CC5">
      <w:pPr>
        <w:pStyle w:val="2"/>
        <w:spacing w:line="360" w:lineRule="auto"/>
        <w:rPr>
          <w:rFonts w:asciiTheme="minorEastAsia" w:eastAsiaTheme="minorEastAsia" w:hAnsiTheme="minorEastAsia"/>
          <w:bCs w:val="0"/>
          <w:color w:val="000000"/>
          <w:sz w:val="21"/>
          <w:szCs w:val="21"/>
        </w:rPr>
      </w:pPr>
      <w:bookmarkStart w:id="1" w:name="_Toc275961419"/>
      <w:r w:rsidRPr="000A0884">
        <w:rPr>
          <w:rFonts w:asciiTheme="minorEastAsia" w:eastAsiaTheme="minorEastAsia" w:hAnsiTheme="minorEastAsia"/>
          <w:bCs w:val="0"/>
          <w:color w:val="000000"/>
          <w:sz w:val="21"/>
          <w:szCs w:val="21"/>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5"/>
        <w:gridCol w:w="6704"/>
      </w:tblGrid>
      <w:tr w:rsidR="00893436" w:rsidRPr="000A0884" w:rsidTr="000A0884">
        <w:trPr>
          <w:jc w:val="center"/>
        </w:trPr>
        <w:tc>
          <w:tcPr>
            <w:tcW w:w="2935"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权益登记日</w:t>
            </w:r>
          </w:p>
        </w:tc>
        <w:tc>
          <w:tcPr>
            <w:tcW w:w="6704" w:type="dxa"/>
          </w:tcPr>
          <w:p w:rsidR="00893436" w:rsidRPr="000A0884" w:rsidRDefault="00362297"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2020年9月28日</w:t>
            </w:r>
          </w:p>
        </w:tc>
      </w:tr>
      <w:tr w:rsidR="00474628" w:rsidRPr="000A0884" w:rsidTr="000A0884">
        <w:trPr>
          <w:jc w:val="center"/>
        </w:trPr>
        <w:tc>
          <w:tcPr>
            <w:tcW w:w="2935" w:type="dxa"/>
          </w:tcPr>
          <w:p w:rsidR="0009778C" w:rsidRPr="000A0884" w:rsidRDefault="0009778C"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除息日</w:t>
            </w:r>
          </w:p>
        </w:tc>
        <w:tc>
          <w:tcPr>
            <w:tcW w:w="6704" w:type="dxa"/>
          </w:tcPr>
          <w:p w:rsidR="0009778C" w:rsidRPr="000A0884" w:rsidRDefault="00E16B6D" w:rsidP="00474628">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2020年9月28日</w:t>
            </w:r>
          </w:p>
        </w:tc>
      </w:tr>
      <w:tr w:rsidR="00893436" w:rsidRPr="000A0884" w:rsidTr="000A0884">
        <w:trPr>
          <w:jc w:val="center"/>
        </w:trPr>
        <w:tc>
          <w:tcPr>
            <w:tcW w:w="2935"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现金红利发放日</w:t>
            </w:r>
          </w:p>
        </w:tc>
        <w:tc>
          <w:tcPr>
            <w:tcW w:w="6704" w:type="dxa"/>
          </w:tcPr>
          <w:p w:rsidR="00893436" w:rsidRPr="000A0884" w:rsidRDefault="00BA7F5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2020年9月29日</w:t>
            </w:r>
          </w:p>
        </w:tc>
      </w:tr>
      <w:tr w:rsidR="00893436" w:rsidRPr="000A0884" w:rsidTr="000A0884">
        <w:trPr>
          <w:jc w:val="center"/>
        </w:trPr>
        <w:tc>
          <w:tcPr>
            <w:tcW w:w="2935"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分红对象</w:t>
            </w:r>
          </w:p>
        </w:tc>
        <w:tc>
          <w:tcPr>
            <w:tcW w:w="6704" w:type="dxa"/>
            <w:shd w:val="clear" w:color="auto" w:fill="auto"/>
          </w:tcPr>
          <w:p w:rsidR="00893436" w:rsidRPr="000A0884" w:rsidRDefault="00BA7F5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权益登记日在注册登记机构登记在册的本基金全体基金份额持有人</w:t>
            </w:r>
          </w:p>
        </w:tc>
      </w:tr>
      <w:tr w:rsidR="00893436" w:rsidRPr="000A0884" w:rsidTr="000A0884">
        <w:trPr>
          <w:jc w:val="center"/>
        </w:trPr>
        <w:tc>
          <w:tcPr>
            <w:tcW w:w="2935" w:type="dxa"/>
            <w:shd w:val="clear" w:color="auto" w:fill="auto"/>
            <w:vAlign w:val="center"/>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lastRenderedPageBreak/>
              <w:t>红利再投资相关事项的说明</w:t>
            </w:r>
          </w:p>
        </w:tc>
        <w:tc>
          <w:tcPr>
            <w:tcW w:w="6704" w:type="dxa"/>
            <w:shd w:val="clear" w:color="auto" w:fill="auto"/>
          </w:tcPr>
          <w:p w:rsidR="00893436" w:rsidRPr="000A0884" w:rsidRDefault="00BA7F5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选择红利再投资方式的投资者，其红利将按照2020年9月28日除息后的基金份额净值为计算基准确定再投资份额。本基金管理人对红利再投资所确定的基金份额于2020年9月29日直接计入其基金账户，</w:t>
            </w:r>
            <w:r w:rsidR="000A0884">
              <w:rPr>
                <w:rFonts w:asciiTheme="minorEastAsia" w:eastAsiaTheme="minorEastAsia" w:hAnsiTheme="minorEastAsia"/>
                <w:sz w:val="21"/>
                <w:szCs w:val="21"/>
              </w:rPr>
              <w:t>2020</w:t>
            </w:r>
            <w:r w:rsidRPr="000A0884">
              <w:rPr>
                <w:rFonts w:asciiTheme="minorEastAsia" w:eastAsiaTheme="minorEastAsia" w:hAnsiTheme="minorEastAsia"/>
                <w:sz w:val="21"/>
                <w:szCs w:val="21"/>
              </w:rPr>
              <w:t>年9月30日起投资者可以查询、赎回。</w:t>
            </w:r>
          </w:p>
        </w:tc>
      </w:tr>
      <w:tr w:rsidR="00893436" w:rsidRPr="000A0884" w:rsidTr="000A0884">
        <w:trPr>
          <w:jc w:val="center"/>
        </w:trPr>
        <w:tc>
          <w:tcPr>
            <w:tcW w:w="2935"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税收相关事项的说明</w:t>
            </w:r>
          </w:p>
        </w:tc>
        <w:tc>
          <w:tcPr>
            <w:tcW w:w="6704" w:type="dxa"/>
            <w:shd w:val="clear" w:color="auto" w:fill="auto"/>
          </w:tcPr>
          <w:p w:rsidR="00893436" w:rsidRPr="000A0884" w:rsidRDefault="00BA7F5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根据财政部、国家税务总局的财税字【2002】128 号《关于开放式证券投资基金有关税收问题的通知》，投资者(包括个人和机构投资者)从基金利润分配中取得的收入，暂不征收个人所得税和企业所得税。</w:t>
            </w:r>
          </w:p>
        </w:tc>
      </w:tr>
      <w:tr w:rsidR="00893436" w:rsidRPr="000A0884" w:rsidTr="000A0884">
        <w:trPr>
          <w:jc w:val="center"/>
        </w:trPr>
        <w:tc>
          <w:tcPr>
            <w:tcW w:w="2935" w:type="dxa"/>
          </w:tcPr>
          <w:p w:rsidR="00893436" w:rsidRPr="000A0884" w:rsidRDefault="00893436" w:rsidP="00AC3CC5">
            <w:pPr>
              <w:spacing w:line="360" w:lineRule="auto"/>
              <w:rPr>
                <w:rFonts w:asciiTheme="minorEastAsia" w:eastAsiaTheme="minorEastAsia" w:hAnsiTheme="minorEastAsia"/>
                <w:color w:val="000000"/>
                <w:sz w:val="21"/>
                <w:szCs w:val="21"/>
              </w:rPr>
            </w:pPr>
            <w:r w:rsidRPr="000A0884">
              <w:rPr>
                <w:rFonts w:asciiTheme="minorEastAsia" w:eastAsiaTheme="minorEastAsia" w:hAnsiTheme="minorEastAsia"/>
                <w:color w:val="000000"/>
                <w:sz w:val="21"/>
                <w:szCs w:val="21"/>
              </w:rPr>
              <w:t>费用相关事项的说明</w:t>
            </w:r>
          </w:p>
        </w:tc>
        <w:tc>
          <w:tcPr>
            <w:tcW w:w="6704" w:type="dxa"/>
            <w:shd w:val="clear" w:color="auto" w:fill="auto"/>
          </w:tcPr>
          <w:p w:rsidR="00893436" w:rsidRPr="000A0884" w:rsidRDefault="00BA7F58" w:rsidP="00AC3CC5">
            <w:pPr>
              <w:spacing w:line="360" w:lineRule="auto"/>
              <w:rPr>
                <w:rFonts w:asciiTheme="minorEastAsia" w:eastAsiaTheme="minorEastAsia" w:hAnsiTheme="minorEastAsia"/>
                <w:sz w:val="21"/>
                <w:szCs w:val="21"/>
              </w:rPr>
            </w:pPr>
            <w:r w:rsidRPr="000A0884">
              <w:rPr>
                <w:rFonts w:asciiTheme="minorEastAsia" w:eastAsiaTheme="minorEastAsia" w:hAnsiTheme="minorEastAsia"/>
                <w:sz w:val="21"/>
                <w:szCs w:val="21"/>
              </w:rPr>
              <w:t>本基金本次分红免收分红手续费。</w:t>
            </w:r>
          </w:p>
        </w:tc>
      </w:tr>
    </w:tbl>
    <w:p w:rsidR="00893436" w:rsidRPr="000A0884" w:rsidRDefault="00893436" w:rsidP="00AC3CC5">
      <w:pPr>
        <w:pStyle w:val="2"/>
        <w:spacing w:line="360" w:lineRule="auto"/>
        <w:rPr>
          <w:rFonts w:asciiTheme="minorEastAsia" w:eastAsiaTheme="minorEastAsia" w:hAnsiTheme="minorEastAsia"/>
          <w:bCs w:val="0"/>
          <w:color w:val="000000"/>
          <w:sz w:val="21"/>
          <w:szCs w:val="21"/>
        </w:rPr>
      </w:pPr>
      <w:bookmarkStart w:id="2" w:name="_Toc275961420"/>
      <w:r w:rsidRPr="000A0884">
        <w:rPr>
          <w:rFonts w:asciiTheme="minorEastAsia" w:eastAsiaTheme="minorEastAsia" w:hAnsiTheme="minorEastAsia"/>
          <w:bCs w:val="0"/>
          <w:color w:val="000000"/>
          <w:sz w:val="21"/>
          <w:szCs w:val="21"/>
        </w:rPr>
        <w:t>3 其他需要提示的事项</w:t>
      </w:r>
      <w:bookmarkEnd w:id="2"/>
    </w:p>
    <w:p w:rsidR="003E5A37" w:rsidRPr="000A0884" w:rsidRDefault="003D017E" w:rsidP="00A8708E">
      <w:pPr>
        <w:spacing w:line="360" w:lineRule="auto"/>
        <w:ind w:firstLineChars="200" w:firstLine="420"/>
        <w:rPr>
          <w:rFonts w:asciiTheme="minorEastAsia" w:eastAsiaTheme="minorEastAsia" w:hAnsiTheme="minorEastAsia"/>
          <w:sz w:val="21"/>
          <w:szCs w:val="21"/>
        </w:rPr>
      </w:pPr>
      <w:r w:rsidRPr="000A0884">
        <w:rPr>
          <w:rFonts w:asciiTheme="minorEastAsia" w:eastAsiaTheme="minorEastAsia" w:hAnsiTheme="minorEastAsia"/>
          <w:sz w:val="21"/>
          <w:szCs w:val="21"/>
        </w:rPr>
        <w:t>（1）提示</w:t>
      </w:r>
    </w:p>
    <w:p w:rsidR="003E5A37" w:rsidRPr="000A0884" w:rsidRDefault="003D017E">
      <w:pPr>
        <w:spacing w:line="360" w:lineRule="auto"/>
        <w:ind w:firstLineChars="200" w:firstLine="420"/>
        <w:rPr>
          <w:rFonts w:asciiTheme="minorEastAsia" w:eastAsiaTheme="minorEastAsia" w:hAnsiTheme="minorEastAsia"/>
          <w:sz w:val="21"/>
          <w:szCs w:val="21"/>
        </w:rPr>
      </w:pPr>
      <w:r w:rsidRPr="000A0884">
        <w:rPr>
          <w:rFonts w:asciiTheme="minorEastAsia" w:eastAsiaTheme="minorEastAsia" w:hAnsiTheme="minorEastAsia"/>
          <w:sz w:val="21"/>
          <w:szCs w:val="21"/>
        </w:rPr>
        <w:t>因分红导致基金份额净值调整到面值或面值附近，在市场波动等因素的影响下，基金投资仍可能出现亏损或基金份额净值仍有可能低于面值。</w:t>
      </w:r>
    </w:p>
    <w:p w:rsidR="003E5A37" w:rsidRPr="000A0884" w:rsidRDefault="003D017E">
      <w:pPr>
        <w:spacing w:line="360" w:lineRule="auto"/>
        <w:ind w:firstLineChars="200" w:firstLine="420"/>
        <w:rPr>
          <w:rFonts w:asciiTheme="minorEastAsia" w:eastAsiaTheme="minorEastAsia" w:hAnsiTheme="minorEastAsia"/>
          <w:sz w:val="21"/>
          <w:szCs w:val="21"/>
        </w:rPr>
      </w:pPr>
      <w:r w:rsidRPr="000A0884">
        <w:rPr>
          <w:rFonts w:asciiTheme="minorEastAsia" w:eastAsiaTheme="minorEastAsia" w:hAnsiTheme="minorEastAsia"/>
          <w:sz w:val="21"/>
          <w:szCs w:val="21"/>
        </w:rPr>
        <w:t>（2）咨询办法</w:t>
      </w:r>
    </w:p>
    <w:p w:rsidR="003E5A37" w:rsidRPr="000A0884" w:rsidRDefault="003D017E">
      <w:pPr>
        <w:spacing w:line="360" w:lineRule="auto"/>
        <w:ind w:firstLineChars="200" w:firstLine="420"/>
        <w:rPr>
          <w:rFonts w:asciiTheme="minorEastAsia" w:eastAsiaTheme="minorEastAsia" w:hAnsiTheme="minorEastAsia"/>
          <w:sz w:val="21"/>
          <w:szCs w:val="21"/>
        </w:rPr>
      </w:pPr>
      <w:r w:rsidRPr="000A0884">
        <w:rPr>
          <w:rFonts w:asciiTheme="minorEastAsia" w:eastAsiaTheme="minorEastAsia" w:hAnsiTheme="minorEastAsia"/>
          <w:sz w:val="21"/>
          <w:szCs w:val="21"/>
        </w:rPr>
        <w:t>1）国泰基金管理有限公司网站：www.gtfund.com；</w:t>
      </w:r>
    </w:p>
    <w:p w:rsidR="003E5A37" w:rsidRPr="000A0884" w:rsidRDefault="003D017E">
      <w:pPr>
        <w:spacing w:line="360" w:lineRule="auto"/>
        <w:ind w:firstLineChars="200" w:firstLine="420"/>
        <w:rPr>
          <w:rFonts w:asciiTheme="minorEastAsia" w:eastAsiaTheme="minorEastAsia" w:hAnsiTheme="minorEastAsia"/>
          <w:sz w:val="21"/>
          <w:szCs w:val="21"/>
        </w:rPr>
      </w:pPr>
      <w:r w:rsidRPr="000A0884">
        <w:rPr>
          <w:rFonts w:asciiTheme="minorEastAsia" w:eastAsiaTheme="minorEastAsia" w:hAnsiTheme="minorEastAsia"/>
          <w:sz w:val="21"/>
          <w:szCs w:val="21"/>
        </w:rPr>
        <w:t>2）国泰基金管理有限公司客户服务热线：400-888-8688（免长途话费）、021-31089000；</w:t>
      </w:r>
    </w:p>
    <w:p w:rsidR="003E5A37" w:rsidRPr="000A0884" w:rsidRDefault="003D017E">
      <w:pPr>
        <w:spacing w:line="360" w:lineRule="auto"/>
        <w:ind w:firstLineChars="200" w:firstLine="420"/>
        <w:rPr>
          <w:rFonts w:asciiTheme="minorEastAsia" w:eastAsiaTheme="minorEastAsia" w:hAnsiTheme="minorEastAsia"/>
          <w:sz w:val="21"/>
          <w:szCs w:val="21"/>
        </w:rPr>
      </w:pPr>
      <w:r w:rsidRPr="000A0884">
        <w:rPr>
          <w:rFonts w:asciiTheme="minorEastAsia" w:eastAsiaTheme="minorEastAsia" w:hAnsiTheme="minorEastAsia"/>
          <w:sz w:val="21"/>
          <w:szCs w:val="21"/>
        </w:rPr>
        <w:t>3）国泰基金管理有限公司直销网点及本基金各销售机构的相关网点。</w:t>
      </w:r>
    </w:p>
    <w:p w:rsidR="003E5A37" w:rsidRDefault="003E5A37">
      <w:pPr>
        <w:spacing w:line="360" w:lineRule="auto"/>
        <w:ind w:firstLineChars="200" w:firstLine="420"/>
        <w:rPr>
          <w:rFonts w:asciiTheme="minorEastAsia" w:eastAsiaTheme="minorEastAsia" w:hAnsiTheme="minorEastAsia"/>
          <w:sz w:val="21"/>
          <w:szCs w:val="21"/>
        </w:rPr>
      </w:pPr>
    </w:p>
    <w:p w:rsidR="000A0884" w:rsidRDefault="000A0884">
      <w:pPr>
        <w:spacing w:line="360" w:lineRule="auto"/>
        <w:ind w:firstLineChars="200" w:firstLine="420"/>
        <w:rPr>
          <w:rFonts w:asciiTheme="minorEastAsia" w:eastAsiaTheme="minorEastAsia" w:hAnsiTheme="minorEastAsia"/>
          <w:sz w:val="21"/>
          <w:szCs w:val="21"/>
        </w:rPr>
      </w:pPr>
    </w:p>
    <w:p w:rsidR="000A0884" w:rsidRPr="000A0884" w:rsidRDefault="000A0884">
      <w:pPr>
        <w:spacing w:line="360" w:lineRule="auto"/>
        <w:ind w:firstLineChars="200" w:firstLine="420"/>
        <w:rPr>
          <w:rFonts w:asciiTheme="minorEastAsia" w:eastAsiaTheme="minorEastAsia" w:hAnsiTheme="minorEastAsia"/>
          <w:sz w:val="21"/>
          <w:szCs w:val="21"/>
        </w:rPr>
      </w:pPr>
      <w:bookmarkStart w:id="3" w:name="_GoBack"/>
      <w:bookmarkEnd w:id="3"/>
    </w:p>
    <w:p w:rsidR="003E5A37" w:rsidRPr="000A0884" w:rsidRDefault="003D017E" w:rsidP="00474628">
      <w:pPr>
        <w:spacing w:line="360" w:lineRule="auto"/>
        <w:ind w:firstLineChars="200" w:firstLine="420"/>
        <w:jc w:val="right"/>
        <w:rPr>
          <w:rFonts w:asciiTheme="minorEastAsia" w:eastAsiaTheme="minorEastAsia" w:hAnsiTheme="minorEastAsia"/>
          <w:sz w:val="21"/>
          <w:szCs w:val="21"/>
        </w:rPr>
      </w:pPr>
      <w:r w:rsidRPr="000A0884">
        <w:rPr>
          <w:rFonts w:asciiTheme="minorEastAsia" w:eastAsiaTheme="minorEastAsia" w:hAnsiTheme="minorEastAsia"/>
          <w:sz w:val="21"/>
          <w:szCs w:val="21"/>
        </w:rPr>
        <w:t>国泰基金管理有限公司</w:t>
      </w:r>
    </w:p>
    <w:p w:rsidR="00364C2A" w:rsidRPr="000A0884" w:rsidRDefault="00284B1B" w:rsidP="00474628">
      <w:pPr>
        <w:spacing w:line="360" w:lineRule="auto"/>
        <w:ind w:firstLineChars="200" w:firstLine="420"/>
        <w:jc w:val="right"/>
        <w:rPr>
          <w:rFonts w:asciiTheme="minorEastAsia" w:eastAsiaTheme="minorEastAsia" w:hAnsiTheme="minorEastAsia"/>
          <w:sz w:val="21"/>
          <w:szCs w:val="21"/>
        </w:rPr>
      </w:pPr>
      <w:r w:rsidRPr="000A0884">
        <w:rPr>
          <w:rFonts w:asciiTheme="minorEastAsia" w:eastAsiaTheme="minorEastAsia" w:hAnsiTheme="minorEastAsia"/>
          <w:sz w:val="21"/>
          <w:szCs w:val="21"/>
        </w:rPr>
        <w:t>二零二零年九月二十四日</w:t>
      </w:r>
    </w:p>
    <w:sectPr w:rsidR="00364C2A" w:rsidRPr="000A0884"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28" w:rsidRDefault="00C11528" w:rsidP="00893436">
      <w:r>
        <w:separator/>
      </w:r>
    </w:p>
  </w:endnote>
  <w:endnote w:type="continuationSeparator" w:id="0">
    <w:p w:rsidR="00C11528" w:rsidRDefault="00C11528"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28" w:rsidRDefault="00C11528" w:rsidP="00893436">
      <w:r>
        <w:separator/>
      </w:r>
    </w:p>
  </w:footnote>
  <w:footnote w:type="continuationSeparator" w:id="0">
    <w:p w:rsidR="00C11528" w:rsidRDefault="00C11528"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7AC1"/>
    <w:rsid w:val="00083B7C"/>
    <w:rsid w:val="00085F5C"/>
    <w:rsid w:val="0009778C"/>
    <w:rsid w:val="000A0884"/>
    <w:rsid w:val="000A19B2"/>
    <w:rsid w:val="000C39F6"/>
    <w:rsid w:val="00111BD0"/>
    <w:rsid w:val="00135CA1"/>
    <w:rsid w:val="001E1256"/>
    <w:rsid w:val="00226206"/>
    <w:rsid w:val="00242E4D"/>
    <w:rsid w:val="002641B7"/>
    <w:rsid w:val="002744A0"/>
    <w:rsid w:val="002825C8"/>
    <w:rsid w:val="00284B1B"/>
    <w:rsid w:val="002A63B7"/>
    <w:rsid w:val="002C08C5"/>
    <w:rsid w:val="003160F8"/>
    <w:rsid w:val="00362297"/>
    <w:rsid w:val="00386931"/>
    <w:rsid w:val="0039192C"/>
    <w:rsid w:val="003D017E"/>
    <w:rsid w:val="003E51F2"/>
    <w:rsid w:val="003E5A37"/>
    <w:rsid w:val="00410642"/>
    <w:rsid w:val="00411A38"/>
    <w:rsid w:val="00462525"/>
    <w:rsid w:val="00474628"/>
    <w:rsid w:val="00486934"/>
    <w:rsid w:val="004966BA"/>
    <w:rsid w:val="004A715A"/>
    <w:rsid w:val="00506E3A"/>
    <w:rsid w:val="005439EC"/>
    <w:rsid w:val="005715B6"/>
    <w:rsid w:val="005B087C"/>
    <w:rsid w:val="005C57A1"/>
    <w:rsid w:val="00602C3F"/>
    <w:rsid w:val="006A2E06"/>
    <w:rsid w:val="006E41A5"/>
    <w:rsid w:val="00721B55"/>
    <w:rsid w:val="00751BA5"/>
    <w:rsid w:val="007C142C"/>
    <w:rsid w:val="007D01E7"/>
    <w:rsid w:val="007F6075"/>
    <w:rsid w:val="00834BAE"/>
    <w:rsid w:val="00893436"/>
    <w:rsid w:val="008A17F1"/>
    <w:rsid w:val="008D1F66"/>
    <w:rsid w:val="00901C58"/>
    <w:rsid w:val="009117E2"/>
    <w:rsid w:val="009732A4"/>
    <w:rsid w:val="00A81C93"/>
    <w:rsid w:val="00A8708E"/>
    <w:rsid w:val="00AC3CC5"/>
    <w:rsid w:val="00B44BBE"/>
    <w:rsid w:val="00B64DF3"/>
    <w:rsid w:val="00B71DA2"/>
    <w:rsid w:val="00BA7F58"/>
    <w:rsid w:val="00BD7533"/>
    <w:rsid w:val="00BF5698"/>
    <w:rsid w:val="00C11528"/>
    <w:rsid w:val="00C31B5B"/>
    <w:rsid w:val="00C33DDD"/>
    <w:rsid w:val="00C425B5"/>
    <w:rsid w:val="00CB3D18"/>
    <w:rsid w:val="00CC001C"/>
    <w:rsid w:val="00D87B92"/>
    <w:rsid w:val="00DB7CD4"/>
    <w:rsid w:val="00E16B6D"/>
    <w:rsid w:val="00E24390"/>
    <w:rsid w:val="00E379B4"/>
    <w:rsid w:val="00EA12C9"/>
    <w:rsid w:val="00F0033B"/>
    <w:rsid w:val="00F42CA6"/>
    <w:rsid w:val="00F45E48"/>
    <w:rsid w:val="00F64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4</DocSecurity>
  <Lines>7</Lines>
  <Paragraphs>2</Paragraphs>
  <ScaleCrop>false</ScaleCrop>
  <Company>微软中国</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2020-09-23T16:00:00Z</dcterms:created>
  <dcterms:modified xsi:type="dcterms:W3CDTF">2020-09-23T16:00:00Z</dcterms:modified>
</cp:coreProperties>
</file>