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C" w:rsidRPr="001E7589" w:rsidRDefault="00A10847" w:rsidP="001E7589">
      <w:pPr>
        <w:pStyle w:val="Default"/>
        <w:jc w:val="center"/>
        <w:rPr>
          <w:rFonts w:ascii="宋体" w:eastAsia="宋体" w:hAnsi="宋体"/>
          <w:b/>
          <w:bCs/>
          <w:sz w:val="28"/>
          <w:szCs w:val="28"/>
        </w:rPr>
      </w:pPr>
      <w:r w:rsidRPr="001E7589">
        <w:rPr>
          <w:rFonts w:ascii="宋体" w:eastAsia="宋体" w:hAnsi="宋体" w:hint="eastAsia"/>
          <w:b/>
          <w:bCs/>
          <w:sz w:val="28"/>
          <w:szCs w:val="28"/>
        </w:rPr>
        <w:t>关于泰达宏利基金管理有限公司旗下部分基金</w:t>
      </w:r>
      <w:r w:rsidR="00766924">
        <w:rPr>
          <w:rFonts w:ascii="宋体" w:eastAsia="宋体" w:hAnsi="宋体" w:hint="eastAsia"/>
          <w:b/>
          <w:bCs/>
          <w:sz w:val="28"/>
          <w:szCs w:val="28"/>
        </w:rPr>
        <w:t>新增</w:t>
      </w:r>
      <w:r w:rsidR="002D45CD">
        <w:rPr>
          <w:rFonts w:ascii="宋体" w:eastAsia="宋体" w:hAnsi="宋体" w:hint="eastAsia"/>
          <w:b/>
          <w:bCs/>
          <w:sz w:val="28"/>
          <w:szCs w:val="28"/>
        </w:rPr>
        <w:t>交通</w:t>
      </w:r>
      <w:r w:rsidRPr="001E7589">
        <w:rPr>
          <w:rFonts w:ascii="宋体" w:eastAsia="宋体" w:hAnsi="宋体" w:hint="eastAsia"/>
          <w:b/>
          <w:bCs/>
          <w:sz w:val="28"/>
          <w:szCs w:val="28"/>
        </w:rPr>
        <w:t>银行股份有限公司</w:t>
      </w:r>
      <w:r w:rsidR="00766924">
        <w:rPr>
          <w:rFonts w:ascii="宋体" w:eastAsia="宋体" w:hAnsi="宋体" w:hint="eastAsia"/>
          <w:b/>
          <w:bCs/>
          <w:sz w:val="28"/>
          <w:szCs w:val="28"/>
        </w:rPr>
        <w:t>为销售机构</w:t>
      </w:r>
      <w:r w:rsidRPr="001E7589">
        <w:rPr>
          <w:rFonts w:ascii="宋体" w:eastAsia="宋体" w:hAnsi="宋体" w:hint="eastAsia"/>
          <w:b/>
          <w:bCs/>
          <w:sz w:val="28"/>
          <w:szCs w:val="28"/>
        </w:rPr>
        <w:t>的公告</w:t>
      </w:r>
    </w:p>
    <w:p w:rsidR="00A10847" w:rsidRPr="001E7589" w:rsidRDefault="00A10847" w:rsidP="001E7589">
      <w:pPr>
        <w:pStyle w:val="Default"/>
        <w:jc w:val="center"/>
        <w:rPr>
          <w:rFonts w:ascii="宋体" w:eastAsia="宋体" w:hAnsi="宋体"/>
          <w:b/>
          <w:bCs/>
          <w:sz w:val="28"/>
          <w:szCs w:val="28"/>
        </w:rPr>
      </w:pPr>
    </w:p>
    <w:p w:rsidR="0066331C" w:rsidRDefault="00A10847"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根据泰达宏利基金管理有限公司（以下简称“本公司”）与</w:t>
      </w:r>
      <w:r w:rsidR="002D45CD">
        <w:rPr>
          <w:rFonts w:ascii="宋体" w:eastAsia="宋体" w:hAnsi="宋体" w:cs="宋体" w:hint="eastAsia"/>
          <w:color w:val="000000"/>
          <w:kern w:val="0"/>
          <w:sz w:val="24"/>
          <w:szCs w:val="24"/>
        </w:rPr>
        <w:t>交通银行</w:t>
      </w:r>
      <w:r w:rsidRPr="001E7589">
        <w:rPr>
          <w:rFonts w:ascii="宋体" w:eastAsia="宋体" w:hAnsi="宋体" w:cs="宋体" w:hint="eastAsia"/>
          <w:color w:val="000000"/>
          <w:kern w:val="0"/>
          <w:sz w:val="24"/>
          <w:szCs w:val="24"/>
        </w:rPr>
        <w:t>股份有限公司（以下简称“</w:t>
      </w:r>
      <w:r w:rsidR="002D45CD">
        <w:rPr>
          <w:rFonts w:ascii="宋体" w:eastAsia="宋体" w:hAnsi="宋体" w:cs="宋体" w:hint="eastAsia"/>
          <w:color w:val="000000"/>
          <w:kern w:val="0"/>
          <w:sz w:val="24"/>
          <w:szCs w:val="24"/>
        </w:rPr>
        <w:t>交通</w:t>
      </w:r>
      <w:r w:rsidRPr="001E7589">
        <w:rPr>
          <w:rFonts w:ascii="宋体" w:eastAsia="宋体" w:hAnsi="宋体" w:cs="宋体" w:hint="eastAsia"/>
          <w:color w:val="000000"/>
          <w:kern w:val="0"/>
          <w:sz w:val="24"/>
          <w:szCs w:val="24"/>
        </w:rPr>
        <w:t>银行”）签署的销售协议，自2</w:t>
      </w:r>
      <w:r w:rsidRPr="001E7589">
        <w:rPr>
          <w:rFonts w:ascii="宋体" w:eastAsia="宋体" w:hAnsi="宋体" w:cs="宋体"/>
          <w:color w:val="000000"/>
          <w:kern w:val="0"/>
          <w:sz w:val="24"/>
          <w:szCs w:val="24"/>
        </w:rPr>
        <w:t>020</w:t>
      </w:r>
      <w:r w:rsidRPr="001E7589">
        <w:rPr>
          <w:rFonts w:ascii="宋体" w:eastAsia="宋体" w:hAnsi="宋体" w:cs="宋体" w:hint="eastAsia"/>
          <w:color w:val="000000"/>
          <w:kern w:val="0"/>
          <w:sz w:val="24"/>
          <w:szCs w:val="24"/>
        </w:rPr>
        <w:t>年</w:t>
      </w:r>
      <w:r w:rsidR="002D45CD">
        <w:rPr>
          <w:rFonts w:ascii="宋体" w:eastAsia="宋体" w:hAnsi="宋体" w:cs="宋体"/>
          <w:color w:val="000000"/>
          <w:kern w:val="0"/>
          <w:sz w:val="24"/>
          <w:szCs w:val="24"/>
        </w:rPr>
        <w:t>9</w:t>
      </w:r>
      <w:r w:rsidRPr="001E7589">
        <w:rPr>
          <w:rFonts w:ascii="宋体" w:eastAsia="宋体" w:hAnsi="宋体" w:cs="宋体" w:hint="eastAsia"/>
          <w:color w:val="000000"/>
          <w:kern w:val="0"/>
          <w:sz w:val="24"/>
          <w:szCs w:val="24"/>
        </w:rPr>
        <w:t>月</w:t>
      </w:r>
      <w:r w:rsidR="002D45CD">
        <w:rPr>
          <w:rFonts w:ascii="宋体" w:eastAsia="宋体" w:hAnsi="宋体" w:cs="宋体"/>
          <w:color w:val="000000"/>
          <w:kern w:val="0"/>
          <w:sz w:val="24"/>
          <w:szCs w:val="24"/>
        </w:rPr>
        <w:t>24</w:t>
      </w:r>
      <w:r w:rsidRPr="001E7589">
        <w:rPr>
          <w:rFonts w:ascii="宋体" w:eastAsia="宋体" w:hAnsi="宋体" w:cs="宋体" w:hint="eastAsia"/>
          <w:color w:val="000000"/>
          <w:kern w:val="0"/>
          <w:sz w:val="24"/>
          <w:szCs w:val="24"/>
        </w:rPr>
        <w:t>日起，投资者可以通过</w:t>
      </w:r>
      <w:r w:rsidR="002D45CD">
        <w:rPr>
          <w:rFonts w:ascii="宋体" w:eastAsia="宋体" w:hAnsi="宋体" w:cs="宋体" w:hint="eastAsia"/>
          <w:color w:val="000000"/>
          <w:kern w:val="0"/>
          <w:sz w:val="24"/>
          <w:szCs w:val="24"/>
        </w:rPr>
        <w:t>交通银行</w:t>
      </w:r>
      <w:r w:rsidR="006B0B72">
        <w:rPr>
          <w:rFonts w:ascii="宋体" w:eastAsia="宋体" w:hAnsi="宋体" w:cs="宋体" w:hint="eastAsia"/>
          <w:color w:val="000000"/>
          <w:kern w:val="0"/>
          <w:sz w:val="24"/>
          <w:szCs w:val="24"/>
        </w:rPr>
        <w:t>交易系统</w:t>
      </w:r>
      <w:r w:rsidRPr="001E7589">
        <w:rPr>
          <w:rFonts w:ascii="宋体" w:eastAsia="宋体" w:hAnsi="宋体" w:cs="宋体" w:hint="eastAsia"/>
          <w:color w:val="000000"/>
          <w:kern w:val="0"/>
          <w:sz w:val="24"/>
          <w:szCs w:val="24"/>
        </w:rPr>
        <w:t>办理以下基金的开户、申购、赎回、</w:t>
      </w:r>
      <w:r w:rsidR="00274A5C">
        <w:rPr>
          <w:rFonts w:ascii="宋体" w:eastAsia="宋体" w:hAnsi="宋体" w:cs="宋体" w:hint="eastAsia"/>
          <w:color w:val="000000"/>
          <w:kern w:val="0"/>
          <w:sz w:val="24"/>
          <w:szCs w:val="24"/>
        </w:rPr>
        <w:t>定期定额投资、</w:t>
      </w:r>
      <w:r w:rsidRPr="001E7589">
        <w:rPr>
          <w:rFonts w:ascii="宋体" w:eastAsia="宋体" w:hAnsi="宋体" w:cs="宋体" w:hint="eastAsia"/>
          <w:color w:val="000000"/>
          <w:kern w:val="0"/>
          <w:sz w:val="24"/>
          <w:szCs w:val="24"/>
        </w:rPr>
        <w:t>基金转换等业务</w:t>
      </w:r>
      <w:r w:rsidR="00D36838">
        <w:rPr>
          <w:rFonts w:ascii="宋体" w:eastAsia="宋体" w:hAnsi="宋体" w:cs="宋体" w:hint="eastAsia"/>
          <w:color w:val="000000"/>
          <w:kern w:val="0"/>
          <w:sz w:val="24"/>
          <w:szCs w:val="24"/>
        </w:rPr>
        <w:t>。</w:t>
      </w:r>
    </w:p>
    <w:p w:rsidR="00912917" w:rsidRPr="001E7589" w:rsidRDefault="0066331C" w:rsidP="00912917">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00D36838">
        <w:rPr>
          <w:rFonts w:ascii="宋体" w:eastAsia="宋体" w:hAnsi="宋体" w:cs="宋体" w:hint="eastAsia"/>
          <w:color w:val="000000"/>
          <w:kern w:val="0"/>
          <w:sz w:val="24"/>
          <w:szCs w:val="24"/>
        </w:rPr>
        <w:t>新增销售机构销售</w:t>
      </w:r>
      <w:r w:rsidR="00A10847" w:rsidRPr="001E7589">
        <w:rPr>
          <w:rFonts w:ascii="宋体" w:eastAsia="宋体" w:hAnsi="宋体" w:cs="宋体" w:hint="eastAsia"/>
          <w:color w:val="000000"/>
          <w:kern w:val="0"/>
          <w:sz w:val="24"/>
          <w:szCs w:val="24"/>
        </w:rPr>
        <w:t>基金如下</w:t>
      </w:r>
      <w:r w:rsidR="001E7589">
        <w:rPr>
          <w:rFonts w:ascii="宋体" w:eastAsia="宋体" w:hAnsi="宋体" w:cs="宋体" w:hint="eastAsia"/>
          <w:color w:val="000000"/>
          <w:kern w:val="0"/>
          <w:sz w:val="24"/>
          <w:szCs w:val="24"/>
        </w:rPr>
        <w:t>：</w:t>
      </w:r>
    </w:p>
    <w:tbl>
      <w:tblPr>
        <w:tblStyle w:val="a3"/>
        <w:tblW w:w="0" w:type="auto"/>
        <w:tblLook w:val="04A0"/>
      </w:tblPr>
      <w:tblGrid>
        <w:gridCol w:w="846"/>
        <w:gridCol w:w="1417"/>
        <w:gridCol w:w="6033"/>
      </w:tblGrid>
      <w:tr w:rsidR="00A10847" w:rsidTr="00602DF1">
        <w:tc>
          <w:tcPr>
            <w:tcW w:w="846"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417"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6033"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602DF1" w:rsidTr="00602DF1">
        <w:tc>
          <w:tcPr>
            <w:tcW w:w="846" w:type="dxa"/>
            <w:vMerge w:val="restart"/>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1</w:t>
            </w:r>
          </w:p>
        </w:tc>
        <w:tc>
          <w:tcPr>
            <w:tcW w:w="1417" w:type="dxa"/>
          </w:tcPr>
          <w:p w:rsidR="00602DF1" w:rsidRPr="00602DF1" w:rsidRDefault="00602DF1" w:rsidP="001E7589">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0</w:t>
            </w:r>
            <w:r w:rsidRPr="00602DF1">
              <w:rPr>
                <w:rFonts w:ascii="宋体" w:eastAsia="宋体" w:hAnsi="宋体" w:cs="宋体"/>
                <w:color w:val="000000"/>
                <w:kern w:val="0"/>
                <w:sz w:val="24"/>
                <w:szCs w:val="24"/>
              </w:rPr>
              <w:t>01141</w:t>
            </w:r>
          </w:p>
        </w:tc>
        <w:tc>
          <w:tcPr>
            <w:tcW w:w="6033" w:type="dxa"/>
          </w:tcPr>
          <w:p w:rsidR="00602DF1" w:rsidRPr="00602DF1" w:rsidRDefault="00602DF1" w:rsidP="00445434">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泰达宏利创盈灵活配置混合型证券投资基金A</w:t>
            </w:r>
          </w:p>
        </w:tc>
      </w:tr>
      <w:tr w:rsidR="00602DF1" w:rsidTr="00602DF1">
        <w:tc>
          <w:tcPr>
            <w:tcW w:w="846" w:type="dxa"/>
            <w:vMerge/>
          </w:tcPr>
          <w:p w:rsidR="00602DF1" w:rsidRPr="00602DF1" w:rsidRDefault="00602DF1" w:rsidP="00602DF1">
            <w:pPr>
              <w:pStyle w:val="a4"/>
              <w:ind w:firstLineChars="0" w:firstLine="0"/>
              <w:jc w:val="center"/>
              <w:rPr>
                <w:rFonts w:ascii="宋体" w:eastAsia="宋体" w:hAnsi="宋体" w:cs="宋体"/>
                <w:color w:val="000000"/>
                <w:kern w:val="0"/>
                <w:sz w:val="24"/>
                <w:szCs w:val="24"/>
              </w:rPr>
            </w:pPr>
          </w:p>
        </w:tc>
        <w:tc>
          <w:tcPr>
            <w:tcW w:w="1417"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0</w:t>
            </w:r>
            <w:r w:rsidRPr="00602DF1">
              <w:rPr>
                <w:rFonts w:ascii="宋体" w:eastAsia="宋体" w:hAnsi="宋体" w:cs="宋体"/>
                <w:color w:val="000000"/>
                <w:kern w:val="0"/>
                <w:sz w:val="24"/>
                <w:szCs w:val="24"/>
              </w:rPr>
              <w:t>01142</w:t>
            </w:r>
          </w:p>
        </w:tc>
        <w:tc>
          <w:tcPr>
            <w:tcW w:w="6033"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泰达宏利创盈灵活配置混合型证券投资基金</w:t>
            </w:r>
            <w:r w:rsidRPr="00602DF1">
              <w:rPr>
                <w:rFonts w:ascii="宋体" w:eastAsia="宋体" w:hAnsi="宋体" w:cs="宋体"/>
                <w:color w:val="000000"/>
                <w:kern w:val="0"/>
                <w:sz w:val="24"/>
                <w:szCs w:val="24"/>
              </w:rPr>
              <w:t>B</w:t>
            </w:r>
          </w:p>
        </w:tc>
      </w:tr>
      <w:tr w:rsidR="00602DF1" w:rsidTr="00602DF1">
        <w:tc>
          <w:tcPr>
            <w:tcW w:w="846" w:type="dxa"/>
            <w:vMerge w:val="restart"/>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2</w:t>
            </w:r>
          </w:p>
        </w:tc>
        <w:tc>
          <w:tcPr>
            <w:tcW w:w="1417"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0</w:t>
            </w:r>
            <w:r w:rsidRPr="00602DF1">
              <w:rPr>
                <w:rFonts w:ascii="宋体" w:eastAsia="宋体" w:hAnsi="宋体" w:cs="宋体"/>
                <w:color w:val="000000"/>
                <w:kern w:val="0"/>
                <w:sz w:val="24"/>
                <w:szCs w:val="24"/>
              </w:rPr>
              <w:t>01418</w:t>
            </w:r>
          </w:p>
        </w:tc>
        <w:tc>
          <w:tcPr>
            <w:tcW w:w="6033" w:type="dxa"/>
          </w:tcPr>
          <w:p w:rsidR="00602DF1" w:rsidRPr="00602DF1" w:rsidRDefault="00602DF1" w:rsidP="0047358B">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泰达宏利创益灵活配置混合型证券投资基金A</w:t>
            </w:r>
          </w:p>
        </w:tc>
      </w:tr>
      <w:tr w:rsidR="00602DF1" w:rsidTr="00602DF1">
        <w:tc>
          <w:tcPr>
            <w:tcW w:w="846" w:type="dxa"/>
            <w:vMerge/>
          </w:tcPr>
          <w:p w:rsidR="00602DF1" w:rsidRPr="00602DF1" w:rsidRDefault="00602DF1" w:rsidP="00602DF1">
            <w:pPr>
              <w:pStyle w:val="a4"/>
              <w:ind w:firstLineChars="0" w:firstLine="0"/>
              <w:jc w:val="center"/>
              <w:rPr>
                <w:rFonts w:ascii="宋体" w:eastAsia="宋体" w:hAnsi="宋体" w:cs="宋体"/>
                <w:color w:val="000000"/>
                <w:kern w:val="0"/>
                <w:sz w:val="24"/>
                <w:szCs w:val="24"/>
              </w:rPr>
            </w:pPr>
          </w:p>
        </w:tc>
        <w:tc>
          <w:tcPr>
            <w:tcW w:w="1417"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002273</w:t>
            </w:r>
          </w:p>
        </w:tc>
        <w:tc>
          <w:tcPr>
            <w:tcW w:w="6033"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泰达宏利创益灵活配置混合型证券投资基金B</w:t>
            </w:r>
          </w:p>
        </w:tc>
      </w:tr>
      <w:tr w:rsidR="0047358B" w:rsidTr="00602DF1">
        <w:tc>
          <w:tcPr>
            <w:tcW w:w="846" w:type="dxa"/>
          </w:tcPr>
          <w:p w:rsidR="0047358B"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3</w:t>
            </w:r>
          </w:p>
        </w:tc>
        <w:tc>
          <w:tcPr>
            <w:tcW w:w="1417" w:type="dxa"/>
          </w:tcPr>
          <w:p w:rsidR="0047358B" w:rsidRPr="00602DF1" w:rsidRDefault="0047358B"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003501</w:t>
            </w:r>
          </w:p>
        </w:tc>
        <w:tc>
          <w:tcPr>
            <w:tcW w:w="6033" w:type="dxa"/>
          </w:tcPr>
          <w:p w:rsidR="0047358B" w:rsidRPr="00602DF1" w:rsidRDefault="0047358B" w:rsidP="0047358B">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泰达宏利睿智稳健灵活配置混合型证券投资基金</w:t>
            </w:r>
          </w:p>
        </w:tc>
      </w:tr>
      <w:tr w:rsidR="00602DF1" w:rsidTr="00602DF1">
        <w:tc>
          <w:tcPr>
            <w:tcW w:w="846" w:type="dxa"/>
            <w:vMerge w:val="restart"/>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4</w:t>
            </w:r>
          </w:p>
        </w:tc>
        <w:tc>
          <w:tcPr>
            <w:tcW w:w="1417"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004484</w:t>
            </w:r>
          </w:p>
        </w:tc>
        <w:tc>
          <w:tcPr>
            <w:tcW w:w="6033" w:type="dxa"/>
          </w:tcPr>
          <w:p w:rsidR="00602DF1" w:rsidRPr="00602DF1" w:rsidRDefault="00602DF1" w:rsidP="0047358B">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泰达宏利业绩驱动量化股票型证券投资基金A</w:t>
            </w:r>
          </w:p>
        </w:tc>
      </w:tr>
      <w:tr w:rsidR="00602DF1" w:rsidTr="00602DF1">
        <w:tc>
          <w:tcPr>
            <w:tcW w:w="846" w:type="dxa"/>
            <w:vMerge/>
          </w:tcPr>
          <w:p w:rsidR="00602DF1" w:rsidRPr="00602DF1" w:rsidRDefault="00602DF1" w:rsidP="00602DF1">
            <w:pPr>
              <w:pStyle w:val="a4"/>
              <w:ind w:firstLineChars="0" w:firstLine="0"/>
              <w:jc w:val="center"/>
              <w:rPr>
                <w:rFonts w:ascii="宋体" w:eastAsia="宋体" w:hAnsi="宋体" w:cs="宋体"/>
                <w:color w:val="000000"/>
                <w:kern w:val="0"/>
                <w:sz w:val="24"/>
                <w:szCs w:val="24"/>
              </w:rPr>
            </w:pPr>
          </w:p>
        </w:tc>
        <w:tc>
          <w:tcPr>
            <w:tcW w:w="1417"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004485</w:t>
            </w:r>
          </w:p>
        </w:tc>
        <w:tc>
          <w:tcPr>
            <w:tcW w:w="6033"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泰达宏利业绩驱动量化股票型证券投资基金C</w:t>
            </w:r>
          </w:p>
        </w:tc>
      </w:tr>
      <w:tr w:rsidR="0047358B" w:rsidTr="00602DF1">
        <w:tc>
          <w:tcPr>
            <w:tcW w:w="846" w:type="dxa"/>
          </w:tcPr>
          <w:p w:rsidR="0047358B"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5</w:t>
            </w:r>
          </w:p>
        </w:tc>
        <w:tc>
          <w:tcPr>
            <w:tcW w:w="1417" w:type="dxa"/>
          </w:tcPr>
          <w:p w:rsidR="0047358B"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005903</w:t>
            </w:r>
          </w:p>
        </w:tc>
        <w:tc>
          <w:tcPr>
            <w:tcW w:w="6033" w:type="dxa"/>
          </w:tcPr>
          <w:p w:rsidR="0047358B" w:rsidRPr="00602DF1" w:rsidRDefault="0047358B" w:rsidP="0047358B">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泰达宏利绩优增长灵活配置混合型证券投资基金</w:t>
            </w:r>
          </w:p>
        </w:tc>
      </w:tr>
      <w:tr w:rsidR="00602DF1" w:rsidTr="00602DF1">
        <w:tc>
          <w:tcPr>
            <w:tcW w:w="846" w:type="dxa"/>
            <w:vMerge w:val="restart"/>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6</w:t>
            </w:r>
          </w:p>
        </w:tc>
        <w:tc>
          <w:tcPr>
            <w:tcW w:w="1417"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007641</w:t>
            </w:r>
          </w:p>
        </w:tc>
        <w:tc>
          <w:tcPr>
            <w:tcW w:w="6033" w:type="dxa"/>
          </w:tcPr>
          <w:p w:rsidR="00602DF1" w:rsidRPr="00602DF1" w:rsidRDefault="00602DF1" w:rsidP="0047358B">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泰达宏利鑫利半年定期开放债券型证券投资基金A</w:t>
            </w:r>
          </w:p>
        </w:tc>
      </w:tr>
      <w:tr w:rsidR="00602DF1" w:rsidTr="00602DF1">
        <w:tc>
          <w:tcPr>
            <w:tcW w:w="846" w:type="dxa"/>
            <w:vMerge/>
          </w:tcPr>
          <w:p w:rsidR="00602DF1" w:rsidRPr="00602DF1" w:rsidRDefault="00602DF1" w:rsidP="00602DF1">
            <w:pPr>
              <w:pStyle w:val="a4"/>
              <w:ind w:firstLineChars="0" w:firstLine="0"/>
              <w:jc w:val="center"/>
              <w:rPr>
                <w:rFonts w:ascii="宋体" w:eastAsia="宋体" w:hAnsi="宋体" w:cs="宋体"/>
                <w:color w:val="000000"/>
                <w:kern w:val="0"/>
                <w:sz w:val="24"/>
                <w:szCs w:val="24"/>
              </w:rPr>
            </w:pPr>
          </w:p>
        </w:tc>
        <w:tc>
          <w:tcPr>
            <w:tcW w:w="1417"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007642</w:t>
            </w:r>
          </w:p>
        </w:tc>
        <w:tc>
          <w:tcPr>
            <w:tcW w:w="6033"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泰达宏利鑫利半年定期开放债券型证券投资基金C</w:t>
            </w:r>
          </w:p>
        </w:tc>
      </w:tr>
      <w:tr w:rsidR="00602DF1" w:rsidTr="00602DF1">
        <w:tc>
          <w:tcPr>
            <w:tcW w:w="846" w:type="dxa"/>
            <w:vMerge w:val="restart"/>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7</w:t>
            </w:r>
          </w:p>
        </w:tc>
        <w:tc>
          <w:tcPr>
            <w:tcW w:w="1417" w:type="dxa"/>
          </w:tcPr>
          <w:p w:rsidR="00602DF1" w:rsidRPr="00602DF1" w:rsidRDefault="00602DF1" w:rsidP="0047358B">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007678</w:t>
            </w:r>
          </w:p>
        </w:tc>
        <w:tc>
          <w:tcPr>
            <w:tcW w:w="6033" w:type="dxa"/>
          </w:tcPr>
          <w:p w:rsidR="00602DF1" w:rsidRPr="00602DF1" w:rsidRDefault="00602DF1" w:rsidP="0047358B">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泰达宏利品牌升级混合型证券投资基金A</w:t>
            </w:r>
          </w:p>
        </w:tc>
      </w:tr>
      <w:tr w:rsidR="00602DF1" w:rsidTr="00602DF1">
        <w:tc>
          <w:tcPr>
            <w:tcW w:w="846" w:type="dxa"/>
            <w:vMerge/>
          </w:tcPr>
          <w:p w:rsidR="00602DF1" w:rsidRPr="00602DF1" w:rsidRDefault="00602DF1" w:rsidP="00602DF1">
            <w:pPr>
              <w:pStyle w:val="a4"/>
              <w:ind w:firstLineChars="0" w:firstLine="0"/>
              <w:jc w:val="center"/>
              <w:rPr>
                <w:rFonts w:ascii="宋体" w:eastAsia="宋体" w:hAnsi="宋体" w:cs="宋体"/>
                <w:color w:val="000000"/>
                <w:kern w:val="0"/>
                <w:sz w:val="24"/>
                <w:szCs w:val="24"/>
              </w:rPr>
            </w:pPr>
          </w:p>
        </w:tc>
        <w:tc>
          <w:tcPr>
            <w:tcW w:w="1417" w:type="dxa"/>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007679</w:t>
            </w:r>
          </w:p>
        </w:tc>
        <w:tc>
          <w:tcPr>
            <w:tcW w:w="6033" w:type="dxa"/>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泰达宏利品牌升级混合型证券投资基金C</w:t>
            </w:r>
          </w:p>
        </w:tc>
      </w:tr>
      <w:tr w:rsidR="00602DF1" w:rsidTr="00602DF1">
        <w:tc>
          <w:tcPr>
            <w:tcW w:w="846" w:type="dxa"/>
            <w:vMerge w:val="restart"/>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8</w:t>
            </w:r>
          </w:p>
        </w:tc>
        <w:tc>
          <w:tcPr>
            <w:tcW w:w="1417" w:type="dxa"/>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008353</w:t>
            </w:r>
          </w:p>
        </w:tc>
        <w:tc>
          <w:tcPr>
            <w:tcW w:w="6033" w:type="dxa"/>
          </w:tcPr>
          <w:p w:rsidR="00602DF1" w:rsidRPr="00602DF1" w:rsidRDefault="00602DF1" w:rsidP="00602DF1">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泰达宏利消费行业量化精选混合型证券投资基金A</w:t>
            </w:r>
          </w:p>
        </w:tc>
      </w:tr>
      <w:tr w:rsidR="00602DF1" w:rsidTr="00602DF1">
        <w:tc>
          <w:tcPr>
            <w:tcW w:w="846" w:type="dxa"/>
            <w:vMerge/>
          </w:tcPr>
          <w:p w:rsidR="00602DF1" w:rsidRPr="00602DF1" w:rsidRDefault="00602DF1" w:rsidP="00602DF1">
            <w:pPr>
              <w:pStyle w:val="a4"/>
              <w:ind w:firstLineChars="0" w:firstLine="0"/>
              <w:jc w:val="center"/>
              <w:rPr>
                <w:rFonts w:ascii="宋体" w:eastAsia="宋体" w:hAnsi="宋体" w:cs="宋体"/>
                <w:color w:val="000000"/>
                <w:kern w:val="0"/>
                <w:sz w:val="24"/>
                <w:szCs w:val="24"/>
              </w:rPr>
            </w:pPr>
          </w:p>
        </w:tc>
        <w:tc>
          <w:tcPr>
            <w:tcW w:w="1417" w:type="dxa"/>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008354</w:t>
            </w:r>
          </w:p>
        </w:tc>
        <w:tc>
          <w:tcPr>
            <w:tcW w:w="6033" w:type="dxa"/>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泰达宏利消费行业量化精选混合型证券投资基金C</w:t>
            </w:r>
          </w:p>
        </w:tc>
      </w:tr>
      <w:tr w:rsidR="00602DF1" w:rsidTr="00602DF1">
        <w:tc>
          <w:tcPr>
            <w:tcW w:w="846" w:type="dxa"/>
            <w:vMerge w:val="restart"/>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9</w:t>
            </w:r>
          </w:p>
        </w:tc>
        <w:tc>
          <w:tcPr>
            <w:tcW w:w="1417" w:type="dxa"/>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009141</w:t>
            </w:r>
          </w:p>
        </w:tc>
        <w:tc>
          <w:tcPr>
            <w:tcW w:w="6033" w:type="dxa"/>
          </w:tcPr>
          <w:p w:rsidR="00602DF1" w:rsidRPr="00602DF1" w:rsidRDefault="00602DF1" w:rsidP="00602DF1">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泰达宏利价值长青混合型证券投资基金A</w:t>
            </w:r>
          </w:p>
        </w:tc>
      </w:tr>
      <w:tr w:rsidR="00602DF1" w:rsidTr="00602DF1">
        <w:tc>
          <w:tcPr>
            <w:tcW w:w="846" w:type="dxa"/>
            <w:vMerge/>
          </w:tcPr>
          <w:p w:rsidR="00602DF1" w:rsidRPr="00602DF1" w:rsidRDefault="00602DF1" w:rsidP="00602DF1">
            <w:pPr>
              <w:pStyle w:val="a4"/>
              <w:ind w:firstLineChars="0" w:firstLine="0"/>
              <w:jc w:val="center"/>
              <w:rPr>
                <w:rFonts w:ascii="宋体" w:eastAsia="宋体" w:hAnsi="宋体" w:cs="宋体"/>
                <w:color w:val="000000"/>
                <w:kern w:val="0"/>
                <w:sz w:val="24"/>
                <w:szCs w:val="24"/>
              </w:rPr>
            </w:pPr>
          </w:p>
        </w:tc>
        <w:tc>
          <w:tcPr>
            <w:tcW w:w="1417" w:type="dxa"/>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009142</w:t>
            </w:r>
          </w:p>
        </w:tc>
        <w:tc>
          <w:tcPr>
            <w:tcW w:w="6033" w:type="dxa"/>
          </w:tcPr>
          <w:p w:rsidR="00602DF1" w:rsidRPr="00602DF1" w:rsidRDefault="00602DF1" w:rsidP="00602DF1">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泰达宏利价值长青混合型证券投资基金C</w:t>
            </w:r>
          </w:p>
        </w:tc>
      </w:tr>
      <w:tr w:rsidR="00602DF1" w:rsidTr="00602DF1">
        <w:tc>
          <w:tcPr>
            <w:tcW w:w="846" w:type="dxa"/>
            <w:vMerge w:val="restart"/>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1</w:t>
            </w:r>
            <w:r w:rsidRPr="00602DF1">
              <w:rPr>
                <w:rFonts w:ascii="宋体" w:eastAsia="宋体" w:hAnsi="宋体" w:cs="宋体"/>
                <w:color w:val="000000"/>
                <w:kern w:val="0"/>
                <w:sz w:val="24"/>
                <w:szCs w:val="24"/>
              </w:rPr>
              <w:t>0</w:t>
            </w:r>
          </w:p>
        </w:tc>
        <w:tc>
          <w:tcPr>
            <w:tcW w:w="1417" w:type="dxa"/>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009194</w:t>
            </w:r>
          </w:p>
        </w:tc>
        <w:tc>
          <w:tcPr>
            <w:tcW w:w="6033" w:type="dxa"/>
          </w:tcPr>
          <w:p w:rsidR="00602DF1" w:rsidRPr="00602DF1" w:rsidRDefault="00602DF1" w:rsidP="00602DF1">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泰达宏利中证申万绩优策略指数增强型证券投资基金A</w:t>
            </w:r>
          </w:p>
        </w:tc>
      </w:tr>
      <w:tr w:rsidR="00602DF1" w:rsidTr="00602DF1">
        <w:tc>
          <w:tcPr>
            <w:tcW w:w="846" w:type="dxa"/>
            <w:vMerge/>
          </w:tcPr>
          <w:p w:rsidR="00602DF1" w:rsidRPr="00602DF1" w:rsidRDefault="00602DF1" w:rsidP="00602DF1">
            <w:pPr>
              <w:pStyle w:val="a4"/>
              <w:ind w:firstLineChars="0" w:firstLine="0"/>
              <w:jc w:val="center"/>
              <w:rPr>
                <w:rFonts w:ascii="宋体" w:eastAsia="宋体" w:hAnsi="宋体" w:cs="宋体"/>
                <w:color w:val="000000"/>
                <w:kern w:val="0"/>
                <w:sz w:val="24"/>
                <w:szCs w:val="24"/>
              </w:rPr>
            </w:pPr>
          </w:p>
        </w:tc>
        <w:tc>
          <w:tcPr>
            <w:tcW w:w="1417" w:type="dxa"/>
          </w:tcPr>
          <w:p w:rsidR="00602DF1" w:rsidRPr="00602DF1" w:rsidRDefault="00602DF1" w:rsidP="00602DF1">
            <w:pPr>
              <w:pStyle w:val="a4"/>
              <w:ind w:firstLineChars="0" w:firstLine="0"/>
              <w:jc w:val="center"/>
              <w:rPr>
                <w:rFonts w:ascii="宋体" w:eastAsia="宋体" w:hAnsi="宋体" w:cs="宋体"/>
                <w:color w:val="000000"/>
                <w:kern w:val="0"/>
                <w:sz w:val="24"/>
                <w:szCs w:val="24"/>
              </w:rPr>
            </w:pPr>
            <w:r w:rsidRPr="00602DF1">
              <w:rPr>
                <w:rFonts w:ascii="宋体" w:eastAsia="宋体" w:hAnsi="宋体" w:cs="宋体"/>
                <w:color w:val="000000"/>
                <w:kern w:val="0"/>
                <w:sz w:val="24"/>
                <w:szCs w:val="24"/>
              </w:rPr>
              <w:t>009195</w:t>
            </w:r>
          </w:p>
        </w:tc>
        <w:tc>
          <w:tcPr>
            <w:tcW w:w="6033" w:type="dxa"/>
          </w:tcPr>
          <w:p w:rsidR="00602DF1" w:rsidRPr="00602DF1" w:rsidRDefault="00602DF1" w:rsidP="00602DF1">
            <w:pPr>
              <w:widowControl/>
              <w:jc w:val="center"/>
              <w:rPr>
                <w:rFonts w:ascii="宋体" w:eastAsia="宋体" w:hAnsi="宋体" w:cs="宋体"/>
                <w:color w:val="000000"/>
                <w:kern w:val="0"/>
                <w:sz w:val="24"/>
                <w:szCs w:val="24"/>
              </w:rPr>
            </w:pPr>
            <w:r w:rsidRPr="00602DF1">
              <w:rPr>
                <w:rFonts w:ascii="宋体" w:eastAsia="宋体" w:hAnsi="宋体" w:cs="宋体" w:hint="eastAsia"/>
                <w:color w:val="000000"/>
                <w:kern w:val="0"/>
                <w:sz w:val="24"/>
                <w:szCs w:val="24"/>
              </w:rPr>
              <w:t>泰达宏利中证申万绩优策略指数增强型证券投资基金C</w:t>
            </w:r>
          </w:p>
        </w:tc>
      </w:tr>
    </w:tbl>
    <w:p w:rsidR="0066331C" w:rsidRDefault="0066331C"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二、重要提示：</w:t>
      </w:r>
    </w:p>
    <w:p w:rsidR="0066331C" w:rsidRPr="0066331C" w:rsidRDefault="0066331C" w:rsidP="0066331C">
      <w:pPr>
        <w:pStyle w:val="Default"/>
        <w:spacing w:line="460" w:lineRule="exact"/>
        <w:ind w:firstLineChars="200" w:firstLine="480"/>
        <w:jc w:val="both"/>
        <w:rPr>
          <w:rFonts w:ascii="宋体" w:eastAsia="宋体" w:hAnsi="宋体" w:cs="宋体"/>
        </w:rPr>
      </w:pPr>
      <w:r w:rsidRPr="0066331C">
        <w:rPr>
          <w:rFonts w:ascii="宋体" w:eastAsia="宋体" w:hAnsi="宋体" w:cs="宋体" w:hint="eastAsia"/>
        </w:rPr>
        <w:t>投资者在</w:t>
      </w:r>
      <w:r>
        <w:rPr>
          <w:rFonts w:ascii="宋体" w:eastAsia="宋体" w:hAnsi="宋体" w:cs="宋体" w:hint="eastAsia"/>
        </w:rPr>
        <w:t>交通银行</w:t>
      </w:r>
      <w:r w:rsidR="00D36838">
        <w:rPr>
          <w:rFonts w:ascii="宋体" w:eastAsia="宋体" w:hAnsi="宋体" w:cs="宋体" w:hint="eastAsia"/>
        </w:rPr>
        <w:t>交易系统</w:t>
      </w:r>
      <w:r w:rsidRPr="0066331C">
        <w:rPr>
          <w:rFonts w:ascii="宋体" w:eastAsia="宋体" w:hAnsi="宋体" w:cs="宋体" w:hint="eastAsia"/>
        </w:rPr>
        <w:t>办理本基金开户、申购、赎回、定期定额投资、基金转换等业务应了解该基金具体业务开通情况，具体可以登陆本公司网站查询相关基金公告。</w:t>
      </w:r>
    </w:p>
    <w:p w:rsidR="00A10847" w:rsidRPr="001E7589" w:rsidRDefault="00A10847"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投资者欲了解上述基金的详细情况，请仔细阅读上述基金的基金合同、招募</w:t>
      </w:r>
      <w:r w:rsidRPr="001E7589">
        <w:rPr>
          <w:rFonts w:ascii="宋体" w:eastAsia="宋体" w:hAnsi="宋体" w:cs="宋体" w:hint="eastAsia"/>
          <w:color w:val="000000"/>
          <w:kern w:val="0"/>
          <w:sz w:val="24"/>
          <w:szCs w:val="24"/>
        </w:rPr>
        <w:lastRenderedPageBreak/>
        <w:t>说明书（更新）和相关业务公告等法律文件。投资者可通过以下途径咨询</w:t>
      </w:r>
      <w:r w:rsidR="001E7589" w:rsidRPr="001E7589">
        <w:rPr>
          <w:rFonts w:ascii="宋体" w:eastAsia="宋体" w:hAnsi="宋体" w:cs="宋体" w:hint="eastAsia"/>
          <w:color w:val="000000"/>
          <w:kern w:val="0"/>
          <w:sz w:val="24"/>
          <w:szCs w:val="24"/>
        </w:rPr>
        <w:t>相关情况：</w:t>
      </w:r>
    </w:p>
    <w:p w:rsidR="001E7589" w:rsidRPr="001E7589" w:rsidRDefault="002D45CD"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交通</w:t>
      </w:r>
      <w:r w:rsidR="001E7589" w:rsidRPr="001E7589">
        <w:rPr>
          <w:rFonts w:ascii="宋体" w:eastAsia="宋体" w:hAnsi="宋体" w:cs="宋体" w:hint="eastAsia"/>
          <w:color w:val="000000"/>
          <w:kern w:val="0"/>
          <w:sz w:val="24"/>
          <w:szCs w:val="24"/>
        </w:rPr>
        <w:t>银行股份有限公司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2D45CD" w:rsidRPr="002D45CD">
        <w:rPr>
          <w:rFonts w:ascii="宋体" w:eastAsia="宋体" w:hAnsi="宋体" w:cs="宋体" w:hint="eastAsia"/>
          <w:color w:val="000000"/>
          <w:kern w:val="0"/>
          <w:sz w:val="24"/>
          <w:szCs w:val="24"/>
        </w:rPr>
        <w:t>95559</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7" w:history="1">
        <w:r w:rsidR="002D45CD" w:rsidRPr="002D45CD">
          <w:rPr>
            <w:rFonts w:ascii="宋体" w:eastAsia="宋体" w:hAnsi="宋体" w:cs="宋体" w:hint="eastAsia"/>
            <w:color w:val="000000"/>
            <w:kern w:val="0"/>
            <w:sz w:val="24"/>
            <w:szCs w:val="24"/>
          </w:rPr>
          <w:t>www.bankcomm.com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8"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bookmarkStart w:id="0" w:name="_GoBack"/>
      <w:bookmarkEnd w:id="0"/>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D706E8" w:rsidRDefault="001E7589" w:rsidP="00912917">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sidR="002D45CD">
        <w:rPr>
          <w:rFonts w:ascii="宋体" w:eastAsia="宋体" w:hAnsi="宋体" w:cs="宋体"/>
          <w:color w:val="000000"/>
          <w:kern w:val="0"/>
          <w:sz w:val="24"/>
          <w:szCs w:val="24"/>
        </w:rPr>
        <w:t>9</w:t>
      </w:r>
      <w:r w:rsidRPr="00D706E8">
        <w:rPr>
          <w:rFonts w:ascii="宋体" w:eastAsia="宋体" w:hAnsi="宋体" w:cs="宋体" w:hint="eastAsia"/>
          <w:color w:val="000000"/>
          <w:kern w:val="0"/>
          <w:sz w:val="24"/>
          <w:szCs w:val="24"/>
        </w:rPr>
        <w:t>月</w:t>
      </w:r>
      <w:r w:rsidR="002D45CD">
        <w:rPr>
          <w:rFonts w:ascii="宋体" w:eastAsia="宋体" w:hAnsi="宋体" w:cs="宋体"/>
          <w:color w:val="000000"/>
          <w:kern w:val="0"/>
          <w:sz w:val="24"/>
          <w:szCs w:val="24"/>
        </w:rPr>
        <w:t>2</w:t>
      </w:r>
      <w:r w:rsidR="003C3EC0">
        <w:rPr>
          <w:rFonts w:ascii="宋体" w:eastAsia="宋体" w:hAnsi="宋体" w:cs="宋体"/>
          <w:color w:val="000000"/>
          <w:kern w:val="0"/>
          <w:sz w:val="24"/>
          <w:szCs w:val="24"/>
        </w:rPr>
        <w:t>3</w:t>
      </w:r>
      <w:r w:rsidRPr="00D706E8">
        <w:rPr>
          <w:rFonts w:ascii="宋体" w:eastAsia="宋体" w:hAnsi="宋体" w:cs="宋体" w:hint="eastAsia"/>
          <w:color w:val="000000"/>
          <w:kern w:val="0"/>
          <w:sz w:val="24"/>
          <w:szCs w:val="24"/>
        </w:rPr>
        <w:t>日</w:t>
      </w:r>
    </w:p>
    <w:p w:rsidR="001E7589" w:rsidRPr="001E7589"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p>
    <w:sectPr w:rsidR="001E7589" w:rsidRPr="001E7589" w:rsidSect="00BF7D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9FD" w:rsidRDefault="004259FD" w:rsidP="004259FD">
      <w:r>
        <w:separator/>
      </w:r>
    </w:p>
  </w:endnote>
  <w:endnote w:type="continuationSeparator" w:id="0">
    <w:p w:rsidR="004259FD" w:rsidRDefault="004259FD" w:rsidP="00425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9FD" w:rsidRDefault="004259FD" w:rsidP="004259FD">
      <w:r>
        <w:separator/>
      </w:r>
    </w:p>
  </w:footnote>
  <w:footnote w:type="continuationSeparator" w:id="0">
    <w:p w:rsidR="004259FD" w:rsidRDefault="004259FD" w:rsidP="00425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1E7589"/>
    <w:rsid w:val="00206065"/>
    <w:rsid w:val="00274A5C"/>
    <w:rsid w:val="002D45CD"/>
    <w:rsid w:val="0030045C"/>
    <w:rsid w:val="003C3EC0"/>
    <w:rsid w:val="004259FD"/>
    <w:rsid w:val="004330EB"/>
    <w:rsid w:val="00445434"/>
    <w:rsid w:val="0047358B"/>
    <w:rsid w:val="004E6349"/>
    <w:rsid w:val="00602DF1"/>
    <w:rsid w:val="0066331C"/>
    <w:rsid w:val="006B0B72"/>
    <w:rsid w:val="00766924"/>
    <w:rsid w:val="00912917"/>
    <w:rsid w:val="00A10847"/>
    <w:rsid w:val="00AA123B"/>
    <w:rsid w:val="00BF7D53"/>
    <w:rsid w:val="00C22FB4"/>
    <w:rsid w:val="00D36838"/>
    <w:rsid w:val="00FB0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D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UnresolvedMention">
    <w:name w:val="Unresolved Mention"/>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semiHidden/>
    <w:unhideWhenUsed/>
    <w:rsid w:val="00425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259FD"/>
    <w:rPr>
      <w:sz w:val="18"/>
      <w:szCs w:val="18"/>
    </w:rPr>
  </w:style>
  <w:style w:type="paragraph" w:styleId="a7">
    <w:name w:val="footer"/>
    <w:basedOn w:val="a"/>
    <w:link w:val="Char0"/>
    <w:uiPriority w:val="99"/>
    <w:semiHidden/>
    <w:unhideWhenUsed/>
    <w:rsid w:val="004259F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259FD"/>
    <w:rPr>
      <w:sz w:val="18"/>
      <w:szCs w:val="18"/>
    </w:rPr>
  </w:style>
</w:styles>
</file>

<file path=word/webSettings.xml><?xml version="1.0" encoding="utf-8"?>
<w:webSettings xmlns:r="http://schemas.openxmlformats.org/officeDocument/2006/relationships" xmlns:w="http://schemas.openxmlformats.org/wordprocessingml/2006/main">
  <w:divs>
    <w:div w:id="137502162">
      <w:bodyDiv w:val="1"/>
      <w:marLeft w:val="0"/>
      <w:marRight w:val="0"/>
      <w:marTop w:val="0"/>
      <w:marBottom w:val="0"/>
      <w:divBdr>
        <w:top w:val="none" w:sz="0" w:space="0" w:color="auto"/>
        <w:left w:val="none" w:sz="0" w:space="0" w:color="auto"/>
        <w:bottom w:val="none" w:sz="0" w:space="0" w:color="auto"/>
        <w:right w:val="none" w:sz="0" w:space="0" w:color="auto"/>
      </w:divBdr>
    </w:div>
    <w:div w:id="285158954">
      <w:bodyDiv w:val="1"/>
      <w:marLeft w:val="0"/>
      <w:marRight w:val="0"/>
      <w:marTop w:val="0"/>
      <w:marBottom w:val="0"/>
      <w:divBdr>
        <w:top w:val="none" w:sz="0" w:space="0" w:color="auto"/>
        <w:left w:val="none" w:sz="0" w:space="0" w:color="auto"/>
        <w:bottom w:val="none" w:sz="0" w:space="0" w:color="auto"/>
        <w:right w:val="none" w:sz="0" w:space="0" w:color="auto"/>
      </w:divBdr>
    </w:div>
    <w:div w:id="469713346">
      <w:bodyDiv w:val="1"/>
      <w:marLeft w:val="0"/>
      <w:marRight w:val="0"/>
      <w:marTop w:val="0"/>
      <w:marBottom w:val="0"/>
      <w:divBdr>
        <w:top w:val="none" w:sz="0" w:space="0" w:color="auto"/>
        <w:left w:val="none" w:sz="0" w:space="0" w:color="auto"/>
        <w:bottom w:val="none" w:sz="0" w:space="0" w:color="auto"/>
        <w:right w:val="none" w:sz="0" w:space="0" w:color="auto"/>
      </w:divBdr>
    </w:div>
    <w:div w:id="899174728">
      <w:bodyDiv w:val="1"/>
      <w:marLeft w:val="0"/>
      <w:marRight w:val="0"/>
      <w:marTop w:val="0"/>
      <w:marBottom w:val="0"/>
      <w:divBdr>
        <w:top w:val="none" w:sz="0" w:space="0" w:color="auto"/>
        <w:left w:val="none" w:sz="0" w:space="0" w:color="auto"/>
        <w:bottom w:val="none" w:sz="0" w:space="0" w:color="auto"/>
        <w:right w:val="none" w:sz="0" w:space="0" w:color="auto"/>
      </w:divBdr>
    </w:div>
    <w:div w:id="964890277">
      <w:bodyDiv w:val="1"/>
      <w:marLeft w:val="0"/>
      <w:marRight w:val="0"/>
      <w:marTop w:val="0"/>
      <w:marBottom w:val="0"/>
      <w:divBdr>
        <w:top w:val="none" w:sz="0" w:space="0" w:color="auto"/>
        <w:left w:val="none" w:sz="0" w:space="0" w:color="auto"/>
        <w:bottom w:val="none" w:sz="0" w:space="0" w:color="auto"/>
        <w:right w:val="none" w:sz="0" w:space="0" w:color="auto"/>
      </w:divBdr>
    </w:div>
    <w:div w:id="995645105">
      <w:bodyDiv w:val="1"/>
      <w:marLeft w:val="0"/>
      <w:marRight w:val="0"/>
      <w:marTop w:val="0"/>
      <w:marBottom w:val="0"/>
      <w:divBdr>
        <w:top w:val="none" w:sz="0" w:space="0" w:color="auto"/>
        <w:left w:val="none" w:sz="0" w:space="0" w:color="auto"/>
        <w:bottom w:val="none" w:sz="0" w:space="0" w:color="auto"/>
        <w:right w:val="none" w:sz="0" w:space="0" w:color="auto"/>
      </w:divBdr>
    </w:div>
    <w:div w:id="1365868355">
      <w:bodyDiv w:val="1"/>
      <w:marLeft w:val="0"/>
      <w:marRight w:val="0"/>
      <w:marTop w:val="0"/>
      <w:marBottom w:val="0"/>
      <w:divBdr>
        <w:top w:val="none" w:sz="0" w:space="0" w:color="auto"/>
        <w:left w:val="none" w:sz="0" w:space="0" w:color="auto"/>
        <w:bottom w:val="none" w:sz="0" w:space="0" w:color="auto"/>
        <w:right w:val="none" w:sz="0" w:space="0" w:color="auto"/>
      </w:divBdr>
    </w:div>
    <w:div w:id="1544057269">
      <w:bodyDiv w:val="1"/>
      <w:marLeft w:val="0"/>
      <w:marRight w:val="0"/>
      <w:marTop w:val="0"/>
      <w:marBottom w:val="0"/>
      <w:divBdr>
        <w:top w:val="none" w:sz="0" w:space="0" w:color="auto"/>
        <w:left w:val="none" w:sz="0" w:space="0" w:color="auto"/>
        <w:bottom w:val="none" w:sz="0" w:space="0" w:color="auto"/>
        <w:right w:val="none" w:sz="0" w:space="0" w:color="auto"/>
      </w:divBdr>
    </w:div>
    <w:div w:id="1744522772">
      <w:bodyDiv w:val="1"/>
      <w:marLeft w:val="0"/>
      <w:marRight w:val="0"/>
      <w:marTop w:val="0"/>
      <w:marBottom w:val="0"/>
      <w:divBdr>
        <w:top w:val="none" w:sz="0" w:space="0" w:color="auto"/>
        <w:left w:val="none" w:sz="0" w:space="0" w:color="auto"/>
        <w:bottom w:val="none" w:sz="0" w:space="0" w:color="auto"/>
        <w:right w:val="none" w:sz="0" w:space="0" w:color="auto"/>
      </w:divBdr>
    </w:div>
    <w:div w:id="1976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eda.com"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4</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ZHONGM</cp:lastModifiedBy>
  <cp:revision>2</cp:revision>
  <dcterms:created xsi:type="dcterms:W3CDTF">2020-09-22T16:01:00Z</dcterms:created>
  <dcterms:modified xsi:type="dcterms:W3CDTF">2020-09-22T16:01:00Z</dcterms:modified>
</cp:coreProperties>
</file>