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C" w:rsidRPr="001E7589" w:rsidRDefault="00A10847" w:rsidP="001E7589">
      <w:pPr>
        <w:pStyle w:val="Default"/>
        <w:jc w:val="center"/>
        <w:rPr>
          <w:rFonts w:ascii="宋体" w:eastAsia="宋体" w:hAnsi="宋体"/>
          <w:b/>
          <w:bCs/>
          <w:sz w:val="28"/>
          <w:szCs w:val="28"/>
        </w:rPr>
      </w:pPr>
      <w:bookmarkStart w:id="0" w:name="_GoBack"/>
      <w:bookmarkEnd w:id="0"/>
      <w:r w:rsidRPr="001E7589">
        <w:rPr>
          <w:rFonts w:ascii="宋体" w:eastAsia="宋体" w:hAnsi="宋体" w:hint="eastAsia"/>
          <w:b/>
          <w:bCs/>
          <w:sz w:val="28"/>
          <w:szCs w:val="28"/>
        </w:rPr>
        <w:t>关于泰达宏利基金管理有限公司旗下部分基金</w:t>
      </w:r>
      <w:r w:rsidR="00D40237">
        <w:rPr>
          <w:rFonts w:ascii="宋体" w:eastAsia="宋体" w:hAnsi="宋体" w:hint="eastAsia"/>
          <w:b/>
          <w:bCs/>
          <w:sz w:val="28"/>
          <w:szCs w:val="28"/>
        </w:rPr>
        <w:t>新增</w:t>
      </w:r>
      <w:r w:rsidR="001339F4">
        <w:rPr>
          <w:rFonts w:ascii="宋体" w:eastAsia="宋体" w:hAnsi="宋体" w:hint="eastAsia"/>
          <w:b/>
          <w:bCs/>
          <w:sz w:val="28"/>
          <w:szCs w:val="28"/>
        </w:rPr>
        <w:t>中国人寿保险</w:t>
      </w:r>
      <w:r w:rsidRPr="001E7589">
        <w:rPr>
          <w:rFonts w:ascii="宋体" w:eastAsia="宋体" w:hAnsi="宋体" w:hint="eastAsia"/>
          <w:b/>
          <w:bCs/>
          <w:sz w:val="28"/>
          <w:szCs w:val="28"/>
        </w:rPr>
        <w:t>股份有限公司</w:t>
      </w:r>
      <w:r w:rsidR="00D40237">
        <w:rPr>
          <w:rFonts w:ascii="宋体" w:eastAsia="宋体" w:hAnsi="宋体" w:hint="eastAsia"/>
          <w:b/>
          <w:bCs/>
          <w:sz w:val="28"/>
          <w:szCs w:val="28"/>
        </w:rPr>
        <w:t>为销售机构并参加其费率优惠</w:t>
      </w:r>
      <w:r w:rsidRPr="001E7589">
        <w:rPr>
          <w:rFonts w:ascii="宋体" w:eastAsia="宋体" w:hAnsi="宋体" w:hint="eastAsia"/>
          <w:b/>
          <w:bCs/>
          <w:sz w:val="28"/>
          <w:szCs w:val="28"/>
        </w:rPr>
        <w:t>的公告</w:t>
      </w:r>
    </w:p>
    <w:p w:rsidR="00A10847" w:rsidRPr="001E7589" w:rsidRDefault="00A10847" w:rsidP="001E7589">
      <w:pPr>
        <w:pStyle w:val="Default"/>
        <w:jc w:val="center"/>
        <w:rPr>
          <w:rFonts w:ascii="宋体" w:eastAsia="宋体" w:hAnsi="宋体"/>
          <w:b/>
          <w:bCs/>
          <w:sz w:val="28"/>
          <w:szCs w:val="28"/>
        </w:rPr>
      </w:pPr>
    </w:p>
    <w:p w:rsidR="0066331C" w:rsidRDefault="00A10847"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根据泰达宏利基金管理有限公司（以下简称“本公司”）与</w:t>
      </w:r>
      <w:r w:rsidR="00352FDC">
        <w:rPr>
          <w:rFonts w:ascii="宋体" w:eastAsia="宋体" w:hAnsi="宋体" w:cs="宋体" w:hint="eastAsia"/>
          <w:color w:val="000000"/>
          <w:kern w:val="0"/>
          <w:sz w:val="24"/>
          <w:szCs w:val="24"/>
        </w:rPr>
        <w:t>中国人寿保险</w:t>
      </w:r>
      <w:r w:rsidRPr="001E7589">
        <w:rPr>
          <w:rFonts w:ascii="宋体" w:eastAsia="宋体" w:hAnsi="宋体" w:cs="宋体" w:hint="eastAsia"/>
          <w:color w:val="000000"/>
          <w:kern w:val="0"/>
          <w:sz w:val="24"/>
          <w:szCs w:val="24"/>
        </w:rPr>
        <w:t>股份有限公司（以下简称“</w:t>
      </w:r>
      <w:r w:rsidR="00352FDC">
        <w:rPr>
          <w:rFonts w:ascii="宋体" w:eastAsia="宋体" w:hAnsi="宋体" w:cs="宋体" w:hint="eastAsia"/>
          <w:color w:val="000000"/>
          <w:kern w:val="0"/>
          <w:sz w:val="24"/>
          <w:szCs w:val="24"/>
        </w:rPr>
        <w:t>人寿保险</w:t>
      </w:r>
      <w:r w:rsidRPr="001E7589">
        <w:rPr>
          <w:rFonts w:ascii="宋体" w:eastAsia="宋体" w:hAnsi="宋体" w:cs="宋体" w:hint="eastAsia"/>
          <w:color w:val="000000"/>
          <w:kern w:val="0"/>
          <w:sz w:val="24"/>
          <w:szCs w:val="24"/>
        </w:rPr>
        <w:t>”）签署的销售协议，自2</w:t>
      </w:r>
      <w:r w:rsidRPr="001E7589">
        <w:rPr>
          <w:rFonts w:ascii="宋体" w:eastAsia="宋体" w:hAnsi="宋体" w:cs="宋体"/>
          <w:color w:val="000000"/>
          <w:kern w:val="0"/>
          <w:sz w:val="24"/>
          <w:szCs w:val="24"/>
        </w:rPr>
        <w:t>020</w:t>
      </w:r>
      <w:r w:rsidRPr="001E7589">
        <w:rPr>
          <w:rFonts w:ascii="宋体" w:eastAsia="宋体" w:hAnsi="宋体" w:cs="宋体" w:hint="eastAsia"/>
          <w:color w:val="000000"/>
          <w:kern w:val="0"/>
          <w:sz w:val="24"/>
          <w:szCs w:val="24"/>
        </w:rPr>
        <w:t>年</w:t>
      </w:r>
      <w:r w:rsidR="002D45CD">
        <w:rPr>
          <w:rFonts w:ascii="宋体" w:eastAsia="宋体" w:hAnsi="宋体" w:cs="宋体"/>
          <w:color w:val="000000"/>
          <w:kern w:val="0"/>
          <w:sz w:val="24"/>
          <w:szCs w:val="24"/>
        </w:rPr>
        <w:t>9</w:t>
      </w:r>
      <w:r w:rsidRPr="001E7589">
        <w:rPr>
          <w:rFonts w:ascii="宋体" w:eastAsia="宋体" w:hAnsi="宋体" w:cs="宋体" w:hint="eastAsia"/>
          <w:color w:val="000000"/>
          <w:kern w:val="0"/>
          <w:sz w:val="24"/>
          <w:szCs w:val="24"/>
        </w:rPr>
        <w:t>月</w:t>
      </w:r>
      <w:r w:rsidR="002D45CD">
        <w:rPr>
          <w:rFonts w:ascii="宋体" w:eastAsia="宋体" w:hAnsi="宋体" w:cs="宋体"/>
          <w:color w:val="000000"/>
          <w:kern w:val="0"/>
          <w:sz w:val="24"/>
          <w:szCs w:val="24"/>
        </w:rPr>
        <w:t>2</w:t>
      </w:r>
      <w:r w:rsidR="00352FDC">
        <w:rPr>
          <w:rFonts w:ascii="宋体" w:eastAsia="宋体" w:hAnsi="宋体" w:cs="宋体"/>
          <w:color w:val="000000"/>
          <w:kern w:val="0"/>
          <w:sz w:val="24"/>
          <w:szCs w:val="24"/>
        </w:rPr>
        <w:t>3</w:t>
      </w:r>
      <w:r w:rsidRPr="001E7589">
        <w:rPr>
          <w:rFonts w:ascii="宋体" w:eastAsia="宋体" w:hAnsi="宋体" w:cs="宋体" w:hint="eastAsia"/>
          <w:color w:val="000000"/>
          <w:kern w:val="0"/>
          <w:sz w:val="24"/>
          <w:szCs w:val="24"/>
        </w:rPr>
        <w:t>日起，投资者可以通过</w:t>
      </w:r>
      <w:r w:rsidR="00352FDC">
        <w:rPr>
          <w:rFonts w:ascii="宋体" w:eastAsia="宋体" w:hAnsi="宋体" w:cs="宋体" w:hint="eastAsia"/>
          <w:color w:val="000000"/>
          <w:kern w:val="0"/>
          <w:sz w:val="24"/>
          <w:szCs w:val="24"/>
        </w:rPr>
        <w:t>人寿保险</w:t>
      </w:r>
      <w:r w:rsidR="00D40237">
        <w:rPr>
          <w:rFonts w:ascii="宋体" w:eastAsia="宋体" w:hAnsi="宋体" w:cs="宋体" w:hint="eastAsia"/>
          <w:color w:val="000000"/>
          <w:kern w:val="0"/>
          <w:sz w:val="24"/>
          <w:szCs w:val="24"/>
        </w:rPr>
        <w:t>交易系统</w:t>
      </w:r>
      <w:r w:rsidRPr="001E7589">
        <w:rPr>
          <w:rFonts w:ascii="宋体" w:eastAsia="宋体" w:hAnsi="宋体" w:cs="宋体" w:hint="eastAsia"/>
          <w:color w:val="000000"/>
          <w:kern w:val="0"/>
          <w:sz w:val="24"/>
          <w:szCs w:val="24"/>
        </w:rPr>
        <w:t>办理以下基金的开户、申购、赎回、</w:t>
      </w:r>
      <w:r w:rsidR="00E963F0">
        <w:rPr>
          <w:rFonts w:ascii="宋体" w:eastAsia="宋体" w:hAnsi="宋体" w:cs="宋体" w:hint="eastAsia"/>
          <w:color w:val="000000"/>
          <w:kern w:val="0"/>
          <w:sz w:val="24"/>
          <w:szCs w:val="24"/>
        </w:rPr>
        <w:t>定期定额、</w:t>
      </w:r>
      <w:r w:rsidRPr="001E7589">
        <w:rPr>
          <w:rFonts w:ascii="宋体" w:eastAsia="宋体" w:hAnsi="宋体" w:cs="宋体" w:hint="eastAsia"/>
          <w:color w:val="000000"/>
          <w:kern w:val="0"/>
          <w:sz w:val="24"/>
          <w:szCs w:val="24"/>
        </w:rPr>
        <w:t>基金转换等业务。</w:t>
      </w:r>
      <w:r w:rsidR="00D40237">
        <w:rPr>
          <w:rFonts w:ascii="宋体" w:eastAsia="宋体" w:hAnsi="宋体" w:cs="宋体" w:hint="eastAsia"/>
          <w:color w:val="000000"/>
          <w:kern w:val="0"/>
          <w:sz w:val="24"/>
          <w:szCs w:val="24"/>
        </w:rPr>
        <w:t>同时自2</w:t>
      </w:r>
      <w:r w:rsidR="00D40237">
        <w:rPr>
          <w:rFonts w:ascii="宋体" w:eastAsia="宋体" w:hAnsi="宋体" w:cs="宋体"/>
          <w:color w:val="000000"/>
          <w:kern w:val="0"/>
          <w:sz w:val="24"/>
          <w:szCs w:val="24"/>
        </w:rPr>
        <w:t>020</w:t>
      </w:r>
      <w:r w:rsidR="00D40237">
        <w:rPr>
          <w:rFonts w:ascii="宋体" w:eastAsia="宋体" w:hAnsi="宋体" w:cs="宋体" w:hint="eastAsia"/>
          <w:color w:val="000000"/>
          <w:kern w:val="0"/>
          <w:sz w:val="24"/>
          <w:szCs w:val="24"/>
        </w:rPr>
        <w:t>年9月2</w:t>
      </w:r>
      <w:r w:rsidR="00D40237">
        <w:rPr>
          <w:rFonts w:ascii="宋体" w:eastAsia="宋体" w:hAnsi="宋体" w:cs="宋体"/>
          <w:color w:val="000000"/>
          <w:kern w:val="0"/>
          <w:sz w:val="24"/>
          <w:szCs w:val="24"/>
        </w:rPr>
        <w:t>3</w:t>
      </w:r>
      <w:r w:rsidR="00D40237">
        <w:rPr>
          <w:rFonts w:ascii="宋体" w:eastAsia="宋体" w:hAnsi="宋体" w:cs="宋体" w:hint="eastAsia"/>
          <w:color w:val="000000"/>
          <w:kern w:val="0"/>
          <w:sz w:val="24"/>
          <w:szCs w:val="24"/>
        </w:rPr>
        <w:t>日至2</w:t>
      </w:r>
      <w:r w:rsidR="00D40237">
        <w:rPr>
          <w:rFonts w:ascii="宋体" w:eastAsia="宋体" w:hAnsi="宋体" w:cs="宋体"/>
          <w:color w:val="000000"/>
          <w:kern w:val="0"/>
          <w:sz w:val="24"/>
          <w:szCs w:val="24"/>
        </w:rPr>
        <w:t>021</w:t>
      </w:r>
      <w:r w:rsidR="00D40237">
        <w:rPr>
          <w:rFonts w:ascii="宋体" w:eastAsia="宋体" w:hAnsi="宋体" w:cs="宋体" w:hint="eastAsia"/>
          <w:color w:val="000000"/>
          <w:kern w:val="0"/>
          <w:sz w:val="24"/>
          <w:szCs w:val="24"/>
        </w:rPr>
        <w:t>年6月3</w:t>
      </w:r>
      <w:r w:rsidR="00D40237">
        <w:rPr>
          <w:rFonts w:ascii="宋体" w:eastAsia="宋体" w:hAnsi="宋体" w:cs="宋体"/>
          <w:color w:val="000000"/>
          <w:kern w:val="0"/>
          <w:sz w:val="24"/>
          <w:szCs w:val="24"/>
        </w:rPr>
        <w:t>0</w:t>
      </w:r>
      <w:r w:rsidR="00D40237">
        <w:rPr>
          <w:rFonts w:ascii="宋体" w:eastAsia="宋体" w:hAnsi="宋体" w:cs="宋体" w:hint="eastAsia"/>
          <w:color w:val="000000"/>
          <w:kern w:val="0"/>
          <w:sz w:val="24"/>
          <w:szCs w:val="24"/>
        </w:rPr>
        <w:t>日，旗下部分基金参加其费率优惠活动，具体情况如下：</w:t>
      </w:r>
    </w:p>
    <w:p w:rsidR="00912917" w:rsidRPr="001E7589" w:rsidRDefault="0066331C" w:rsidP="00912917">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008220E0">
        <w:rPr>
          <w:rFonts w:ascii="宋体" w:eastAsia="宋体" w:hAnsi="宋体" w:cs="宋体" w:hint="eastAsia"/>
          <w:color w:val="000000"/>
          <w:kern w:val="0"/>
          <w:sz w:val="24"/>
          <w:szCs w:val="24"/>
        </w:rPr>
        <w:t>新增销售机构销售</w:t>
      </w:r>
      <w:r w:rsidR="00A10847" w:rsidRPr="001E7589">
        <w:rPr>
          <w:rFonts w:ascii="宋体" w:eastAsia="宋体" w:hAnsi="宋体" w:cs="宋体" w:hint="eastAsia"/>
          <w:color w:val="000000"/>
          <w:kern w:val="0"/>
          <w:sz w:val="24"/>
          <w:szCs w:val="24"/>
        </w:rPr>
        <w:t>基金</w:t>
      </w:r>
      <w:r w:rsidR="008220E0">
        <w:rPr>
          <w:rFonts w:ascii="宋体" w:eastAsia="宋体" w:hAnsi="宋体" w:cs="宋体" w:hint="eastAsia"/>
          <w:color w:val="000000"/>
          <w:kern w:val="0"/>
          <w:sz w:val="24"/>
          <w:szCs w:val="24"/>
        </w:rPr>
        <w:t>及费率优惠适用范围</w:t>
      </w:r>
      <w:r w:rsidR="001E7589">
        <w:rPr>
          <w:rFonts w:ascii="宋体" w:eastAsia="宋体" w:hAnsi="宋体" w:cs="宋体" w:hint="eastAsia"/>
          <w:color w:val="000000"/>
          <w:kern w:val="0"/>
          <w:sz w:val="24"/>
          <w:szCs w:val="24"/>
        </w:rPr>
        <w:t>：</w:t>
      </w:r>
    </w:p>
    <w:tbl>
      <w:tblPr>
        <w:tblStyle w:val="a3"/>
        <w:tblW w:w="8642" w:type="dxa"/>
        <w:tblLook w:val="04A0"/>
      </w:tblPr>
      <w:tblGrid>
        <w:gridCol w:w="704"/>
        <w:gridCol w:w="1843"/>
        <w:gridCol w:w="6095"/>
      </w:tblGrid>
      <w:tr w:rsidR="00A10847" w:rsidTr="00581A07">
        <w:tc>
          <w:tcPr>
            <w:tcW w:w="704"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843"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6095"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000828</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泰达宏利转型机遇股票型证券投资基金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001733</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泰达宏利量化增强股票型证券投资基金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004484/004485</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泰达宏利业绩驱动量化股票型证券投资基金A/C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4</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162208</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泰达宏利首选企业股票型证券投资基金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5</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000507/000508</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泰达宏利宏达混合型证券投资基金A/B</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6</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001017/003550</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泰达宏利改革动力量化策略灵活配置混合型证券投资基金A/C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7</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001141/001142</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泰达宏利创盈灵活配置混合型证券投资基金A/B</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8</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001170</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泰达宏利复兴伟业灵活配置混合型证券投资基金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9</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001254/002313</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泰达宏利新起点灵活配置混合型证券投资基金A/B</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10</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001267</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泰达宏利蓝筹价值混合型证券投资基金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11</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001418/002273</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泰达宏利创益灵活配置混合型证券投资基金A/B</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12</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001419/002314</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泰达宏利新思路灵活配置混合型证券投资基金A/B</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13</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002263/003554</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泰达宏利同顺大数据量化优选灵活配置混合型证券投资基金A/C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14</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003501</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泰达宏利睿智稳健灵活配置混合型证券投资基金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15</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003912/003913</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泰达宏利启富灵活配置混合型证券投资基金A/C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005903</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泰达宏利绩优增长灵活配置混合型证券投资基金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17</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007678/007679</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泰达宏利品牌升级混合型证券投资基金A/C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18</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008353/008354</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泰达宏利消费行业量化精选混合型证券投资基金A/C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19</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009141/009142</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泰达宏利价值长青混合型证券投资基金A/C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20</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162201</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泰达宏利价值优化型成长类行业混合型证券投资基金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21</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162202</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泰达宏利价值优化型周期类行业混合型证券投资基金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22</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162203</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泰达宏利价值优化型稳定类行业混合型证券投资基金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23</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162204</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泰达宏利行业精选混合型证券投资基金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24</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162205</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泰达宏利风险预算混合型证券投资基金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lastRenderedPageBreak/>
              <w:t>25</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162209</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泰达宏利市值优选混合型证券投资基金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26</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162211</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泰达宏利品质生活灵活配置混合型证券投资基金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27</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162212</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泰达宏利红利先锋混合型证券投资基金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28</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162214</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泰达宏利领先中小盘混合型证券投资基金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29</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229002</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泰达宏利逆向策略混合型证券投资基金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30</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008928/008929</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泰达宏利中证主要消费红利指数型证券投资基金A/C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31</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009194/009195</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泰达宏利中证申万绩优策略指数增强型证券投资基金A/C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32</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162213/003548</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泰达宏利沪深300指数增强型证券投资基金A/C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33</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000319/000320</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泰达宏利淘利债券型证券投资基金A/C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34</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003073/003074</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泰达宏利汇利债券型证券投资基金A/C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35</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003767/003768</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泰达宏利纯利债券型证券投资基金A/C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36</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003793/003794</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泰达宏利溢利债券型证券投资基金A/C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37</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004001/004002</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泰达宏利恒利债券型证券投资基金A/C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38</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007640</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泰达宏利永利债券型证券投资基金</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39</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007641/007642</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泰达宏利鑫利半年定期开放债券型证券投资基金A/C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40</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009814/009815</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泰达宏利乐盈66个月定期开放债券型证券投资基金A/C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41</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162210/162299</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泰达宏利集利债券型证券投资基金A/C</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42</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001894</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泰达宏利活期友货币市场基金A</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43</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003711/003712</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泰达宏利京元宝货币市场基金A/B</w:t>
            </w:r>
          </w:p>
        </w:tc>
      </w:tr>
      <w:tr w:rsidR="003B303E" w:rsidTr="00581A07">
        <w:tc>
          <w:tcPr>
            <w:tcW w:w="704"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44</w:t>
            </w:r>
          </w:p>
        </w:tc>
        <w:tc>
          <w:tcPr>
            <w:tcW w:w="1843"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162206/000700</w:t>
            </w:r>
          </w:p>
        </w:tc>
        <w:tc>
          <w:tcPr>
            <w:tcW w:w="6095" w:type="dxa"/>
          </w:tcPr>
          <w:p w:rsidR="003B303E" w:rsidRPr="003B303E" w:rsidRDefault="003B303E" w:rsidP="003B303E">
            <w:pPr>
              <w:pStyle w:val="a4"/>
              <w:ind w:firstLineChars="0" w:firstLine="0"/>
              <w:jc w:val="center"/>
              <w:rPr>
                <w:rFonts w:ascii="宋体" w:eastAsia="宋体" w:hAnsi="宋体"/>
                <w:sz w:val="24"/>
                <w:szCs w:val="24"/>
              </w:rPr>
            </w:pPr>
            <w:r w:rsidRPr="003B303E">
              <w:rPr>
                <w:rFonts w:ascii="宋体" w:eastAsia="宋体" w:hAnsi="宋体"/>
                <w:sz w:val="24"/>
                <w:szCs w:val="24"/>
              </w:rPr>
              <w:t>泰达宏利货币市场基金A/B</w:t>
            </w:r>
          </w:p>
        </w:tc>
      </w:tr>
    </w:tbl>
    <w:p w:rsidR="0066331C" w:rsidRDefault="0066331C" w:rsidP="0066331C">
      <w:pPr>
        <w:pStyle w:val="Default"/>
        <w:spacing w:line="460" w:lineRule="exact"/>
        <w:ind w:firstLineChars="200" w:firstLine="480"/>
        <w:jc w:val="both"/>
        <w:rPr>
          <w:rFonts w:ascii="宋体" w:eastAsia="宋体" w:hAnsi="宋体" w:cs="宋体"/>
        </w:rPr>
      </w:pPr>
      <w:r w:rsidRPr="0066331C">
        <w:rPr>
          <w:rFonts w:ascii="宋体" w:eastAsia="宋体" w:hAnsi="宋体" w:cs="宋体" w:hint="eastAsia"/>
        </w:rPr>
        <w:t>投资者在</w:t>
      </w:r>
      <w:r w:rsidR="00352FDC">
        <w:rPr>
          <w:rFonts w:ascii="宋体" w:eastAsia="宋体" w:hAnsi="宋体" w:cs="宋体" w:hint="eastAsia"/>
        </w:rPr>
        <w:t>人寿保险</w:t>
      </w:r>
      <w:r w:rsidR="006F10B2">
        <w:rPr>
          <w:rFonts w:ascii="宋体" w:eastAsia="宋体" w:hAnsi="宋体" w:cs="宋体" w:hint="eastAsia"/>
        </w:rPr>
        <w:t>交易系统</w:t>
      </w:r>
      <w:r w:rsidRPr="0066331C">
        <w:rPr>
          <w:rFonts w:ascii="宋体" w:eastAsia="宋体" w:hAnsi="宋体" w:cs="宋体" w:hint="eastAsia"/>
        </w:rPr>
        <w:t>办理本基金开户、申购、赎回、定期定额投资、基金转换等业务应了解该基金具体业务开通情况，具体可以登陆本公司网站查询相关基金公告。</w:t>
      </w:r>
    </w:p>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二、费率优惠活动时间：</w:t>
      </w:r>
    </w:p>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2</w:t>
      </w:r>
      <w:r>
        <w:rPr>
          <w:rFonts w:ascii="宋体" w:eastAsia="宋体" w:hAnsi="宋体" w:cs="宋体"/>
        </w:rPr>
        <w:t>020</w:t>
      </w:r>
      <w:r>
        <w:rPr>
          <w:rFonts w:ascii="宋体" w:eastAsia="宋体" w:hAnsi="宋体" w:cs="宋体" w:hint="eastAsia"/>
        </w:rPr>
        <w:t>年9月2</w:t>
      </w:r>
      <w:r>
        <w:rPr>
          <w:rFonts w:ascii="宋体" w:eastAsia="宋体" w:hAnsi="宋体" w:cs="宋体"/>
        </w:rPr>
        <w:t>3</w:t>
      </w:r>
      <w:r>
        <w:rPr>
          <w:rFonts w:ascii="宋体" w:eastAsia="宋体" w:hAnsi="宋体" w:cs="宋体" w:hint="eastAsia"/>
        </w:rPr>
        <w:t>日至2</w:t>
      </w:r>
      <w:r>
        <w:rPr>
          <w:rFonts w:ascii="宋体" w:eastAsia="宋体" w:hAnsi="宋体" w:cs="宋体"/>
        </w:rPr>
        <w:t>021</w:t>
      </w:r>
      <w:r>
        <w:rPr>
          <w:rFonts w:ascii="宋体" w:eastAsia="宋体" w:hAnsi="宋体" w:cs="宋体" w:hint="eastAsia"/>
        </w:rPr>
        <w:t>年6月3</w:t>
      </w:r>
      <w:r>
        <w:rPr>
          <w:rFonts w:ascii="宋体" w:eastAsia="宋体" w:hAnsi="宋体" w:cs="宋体"/>
        </w:rPr>
        <w:t>0</w:t>
      </w:r>
      <w:r>
        <w:rPr>
          <w:rFonts w:ascii="宋体" w:eastAsia="宋体" w:hAnsi="宋体" w:cs="宋体" w:hint="eastAsia"/>
        </w:rPr>
        <w:t>日</w:t>
      </w:r>
    </w:p>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三、费率优惠活动内容：</w:t>
      </w:r>
    </w:p>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1、投资者范围：通过人寿保险柜面、官网、微信等移动平台申购指定的开放式基金产品的合法个人和机构投资者。</w:t>
      </w:r>
    </w:p>
    <w:p w:rsidR="00B13604" w:rsidRDefault="006F10B2"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2、</w:t>
      </w:r>
      <w:r w:rsidR="00B13604">
        <w:rPr>
          <w:rFonts w:ascii="宋体" w:eastAsia="宋体" w:hAnsi="宋体" w:cs="宋体" w:hint="eastAsia"/>
        </w:rPr>
        <w:t>费率优惠具体内容：活动期间，投资者通过人寿保险申购和定期定额申购基金，其申购费率按照基金原费率（基金原费率详见基金相关法律文件及最新公告）的零点零一折执行，原申购费率为固定费用的，则按原固定费用执行，不享有费率折扣。具体活动规则</w:t>
      </w:r>
      <w:r w:rsidR="00957AEB">
        <w:rPr>
          <w:rFonts w:ascii="宋体" w:eastAsia="宋体" w:hAnsi="宋体" w:cs="宋体" w:hint="eastAsia"/>
        </w:rPr>
        <w:t>以人寿保险</w:t>
      </w:r>
      <w:r w:rsidR="00B13604">
        <w:rPr>
          <w:rFonts w:ascii="宋体" w:eastAsia="宋体" w:hAnsi="宋体" w:cs="宋体" w:hint="eastAsia"/>
        </w:rPr>
        <w:t>官网公告为准。</w:t>
      </w:r>
    </w:p>
    <w:p w:rsidR="00B13604"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四、重要提示：</w:t>
      </w:r>
    </w:p>
    <w:p w:rsidR="00851691"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1、本费率优惠仅适用于本</w:t>
      </w:r>
      <w:r w:rsidR="00E36FC1">
        <w:rPr>
          <w:rFonts w:ascii="宋体" w:eastAsia="宋体" w:hAnsi="宋体" w:cs="宋体" w:hint="eastAsia"/>
        </w:rPr>
        <w:t>基金</w:t>
      </w:r>
      <w:r>
        <w:rPr>
          <w:rFonts w:ascii="宋体" w:eastAsia="宋体" w:hAnsi="宋体" w:cs="宋体" w:hint="eastAsia"/>
        </w:rPr>
        <w:t>在人寿保险申购业务的手续费、包括定期定额申购业务的手续费（各基金定投开通情况以我司最新公告为准），不包括基金</w:t>
      </w:r>
      <w:r>
        <w:rPr>
          <w:rFonts w:ascii="宋体" w:eastAsia="宋体" w:hAnsi="宋体" w:cs="宋体" w:hint="eastAsia"/>
        </w:rPr>
        <w:lastRenderedPageBreak/>
        <w:t>赎回、转换业务等其他业务的手续费。</w:t>
      </w:r>
    </w:p>
    <w:p w:rsidR="00851691" w:rsidRPr="0066331C"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2、本费率优惠活动期间，业务办理的规则和流程以人寿保险的安排和规定为准。相关活动的具体规定如有变化，以</w:t>
      </w:r>
      <w:r w:rsidR="00E36FC1">
        <w:rPr>
          <w:rFonts w:ascii="宋体" w:eastAsia="宋体" w:hAnsi="宋体" w:cs="宋体" w:hint="eastAsia"/>
        </w:rPr>
        <w:t>人寿保险</w:t>
      </w:r>
      <w:r>
        <w:rPr>
          <w:rFonts w:ascii="宋体" w:eastAsia="宋体" w:hAnsi="宋体" w:cs="宋体" w:hint="eastAsia"/>
        </w:rPr>
        <w:t>网站的最新公告为准，敬请投资者关注。</w:t>
      </w:r>
    </w:p>
    <w:p w:rsidR="00A10847"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五、</w:t>
      </w:r>
      <w:r w:rsidR="00A10847" w:rsidRPr="001E7589">
        <w:rPr>
          <w:rFonts w:ascii="宋体" w:eastAsia="宋体" w:hAnsi="宋体" w:cs="宋体" w:hint="eastAsia"/>
          <w:color w:val="000000"/>
          <w:kern w:val="0"/>
          <w:sz w:val="24"/>
          <w:szCs w:val="24"/>
        </w:rPr>
        <w:t>投资者可通过以下途径</w:t>
      </w:r>
      <w:r>
        <w:rPr>
          <w:rFonts w:ascii="宋体" w:eastAsia="宋体" w:hAnsi="宋体" w:cs="宋体" w:hint="eastAsia"/>
          <w:color w:val="000000"/>
          <w:kern w:val="0"/>
          <w:sz w:val="24"/>
          <w:szCs w:val="24"/>
        </w:rPr>
        <w:t>了解和</w:t>
      </w:r>
      <w:r w:rsidR="00A10847" w:rsidRPr="001E7589">
        <w:rPr>
          <w:rFonts w:ascii="宋体" w:eastAsia="宋体" w:hAnsi="宋体" w:cs="宋体" w:hint="eastAsia"/>
          <w:color w:val="000000"/>
          <w:kern w:val="0"/>
          <w:sz w:val="24"/>
          <w:szCs w:val="24"/>
        </w:rPr>
        <w:t>咨询</w:t>
      </w:r>
      <w:r w:rsidR="001E7589" w:rsidRPr="001E7589">
        <w:rPr>
          <w:rFonts w:ascii="宋体" w:eastAsia="宋体" w:hAnsi="宋体" w:cs="宋体" w:hint="eastAsia"/>
          <w:color w:val="000000"/>
          <w:kern w:val="0"/>
          <w:sz w:val="24"/>
          <w:szCs w:val="24"/>
        </w:rPr>
        <w:t>相关情况：</w:t>
      </w:r>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sidR="00352FDC">
        <w:rPr>
          <w:rFonts w:ascii="宋体" w:eastAsia="宋体" w:hAnsi="宋体" w:cs="宋体" w:hint="eastAsia"/>
          <w:color w:val="000000"/>
          <w:kern w:val="0"/>
          <w:sz w:val="24"/>
          <w:szCs w:val="24"/>
        </w:rPr>
        <w:t>中国人寿保险</w:t>
      </w:r>
      <w:r w:rsidR="001E7589" w:rsidRPr="001E7589">
        <w:rPr>
          <w:rFonts w:ascii="宋体" w:eastAsia="宋体" w:hAnsi="宋体" w:cs="宋体" w:hint="eastAsia"/>
          <w:color w:val="000000"/>
          <w:kern w:val="0"/>
          <w:sz w:val="24"/>
          <w:szCs w:val="24"/>
        </w:rPr>
        <w:t>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2D45CD" w:rsidRPr="002D45CD">
        <w:rPr>
          <w:rFonts w:ascii="宋体" w:eastAsia="宋体" w:hAnsi="宋体" w:cs="宋体" w:hint="eastAsia"/>
          <w:color w:val="000000"/>
          <w:kern w:val="0"/>
          <w:sz w:val="24"/>
          <w:szCs w:val="24"/>
        </w:rPr>
        <w:t>95559</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7" w:history="1">
        <w:r w:rsidR="002D45CD" w:rsidRPr="002D45CD">
          <w:rPr>
            <w:rFonts w:ascii="宋体" w:eastAsia="宋体" w:hAnsi="宋体" w:cs="宋体" w:hint="eastAsia"/>
            <w:color w:val="000000"/>
            <w:kern w:val="0"/>
            <w:sz w:val="24"/>
            <w:szCs w:val="24"/>
          </w:rPr>
          <w:t>www.bankcomm.com</w:t>
        </w:r>
      </w:hyperlink>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1E7589"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8"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投资人购买货币市场基金并不等于将资金作为存款存放在银行或存款类金融机构，基金管理人不保证基金一定盈利，也不保证最低收益。</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1E7589" w:rsidRDefault="001E7589" w:rsidP="003F7561">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sidR="002D45CD">
        <w:rPr>
          <w:rFonts w:ascii="宋体" w:eastAsia="宋体" w:hAnsi="宋体" w:cs="宋体"/>
          <w:color w:val="000000"/>
          <w:kern w:val="0"/>
          <w:sz w:val="24"/>
          <w:szCs w:val="24"/>
        </w:rPr>
        <w:t>9</w:t>
      </w:r>
      <w:r w:rsidRPr="00D706E8">
        <w:rPr>
          <w:rFonts w:ascii="宋体" w:eastAsia="宋体" w:hAnsi="宋体" w:cs="宋体" w:hint="eastAsia"/>
          <w:color w:val="000000"/>
          <w:kern w:val="0"/>
          <w:sz w:val="24"/>
          <w:szCs w:val="24"/>
        </w:rPr>
        <w:t>月</w:t>
      </w:r>
      <w:r w:rsidR="002D45CD">
        <w:rPr>
          <w:rFonts w:ascii="宋体" w:eastAsia="宋体" w:hAnsi="宋体" w:cs="宋体"/>
          <w:color w:val="000000"/>
          <w:kern w:val="0"/>
          <w:sz w:val="24"/>
          <w:szCs w:val="24"/>
        </w:rPr>
        <w:t>2</w:t>
      </w:r>
      <w:r w:rsidR="008F2784">
        <w:rPr>
          <w:rFonts w:ascii="宋体" w:eastAsia="宋体" w:hAnsi="宋体" w:cs="宋体"/>
          <w:color w:val="000000"/>
          <w:kern w:val="0"/>
          <w:sz w:val="24"/>
          <w:szCs w:val="24"/>
        </w:rPr>
        <w:t>2</w:t>
      </w:r>
      <w:r w:rsidRPr="00D706E8">
        <w:rPr>
          <w:rFonts w:ascii="宋体" w:eastAsia="宋体" w:hAnsi="宋体" w:cs="宋体" w:hint="eastAsia"/>
          <w:color w:val="000000"/>
          <w:kern w:val="0"/>
          <w:sz w:val="24"/>
          <w:szCs w:val="24"/>
        </w:rPr>
        <w:t>日</w:t>
      </w:r>
    </w:p>
    <w:sectPr w:rsidR="001E7589" w:rsidRPr="001E7589" w:rsidSect="00016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9C" w:rsidRDefault="000F599C" w:rsidP="009C1252">
      <w:r>
        <w:separator/>
      </w:r>
    </w:p>
  </w:endnote>
  <w:endnote w:type="continuationSeparator" w:id="0">
    <w:p w:rsidR="000F599C" w:rsidRDefault="000F599C" w:rsidP="009C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9C" w:rsidRDefault="000F599C" w:rsidP="009C1252">
      <w:r>
        <w:separator/>
      </w:r>
    </w:p>
  </w:footnote>
  <w:footnote w:type="continuationSeparator" w:id="0">
    <w:p w:rsidR="000F599C" w:rsidRDefault="000F599C" w:rsidP="009C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016028"/>
    <w:rsid w:val="000C0CA1"/>
    <w:rsid w:val="000F599C"/>
    <w:rsid w:val="0011411C"/>
    <w:rsid w:val="00117022"/>
    <w:rsid w:val="001339F4"/>
    <w:rsid w:val="001E6A48"/>
    <w:rsid w:val="001E7589"/>
    <w:rsid w:val="00206065"/>
    <w:rsid w:val="00245448"/>
    <w:rsid w:val="002B5E05"/>
    <w:rsid w:val="002D0226"/>
    <w:rsid w:val="002D45CD"/>
    <w:rsid w:val="0030045C"/>
    <w:rsid w:val="00352FDC"/>
    <w:rsid w:val="003B25BB"/>
    <w:rsid w:val="003B303E"/>
    <w:rsid w:val="003F7561"/>
    <w:rsid w:val="0040436A"/>
    <w:rsid w:val="00445434"/>
    <w:rsid w:val="0047358B"/>
    <w:rsid w:val="004E6349"/>
    <w:rsid w:val="00581A07"/>
    <w:rsid w:val="00600101"/>
    <w:rsid w:val="00602DF1"/>
    <w:rsid w:val="00634D02"/>
    <w:rsid w:val="0066331C"/>
    <w:rsid w:val="006F10B2"/>
    <w:rsid w:val="007843C3"/>
    <w:rsid w:val="008220E0"/>
    <w:rsid w:val="00851691"/>
    <w:rsid w:val="008F2784"/>
    <w:rsid w:val="00912917"/>
    <w:rsid w:val="00957AEB"/>
    <w:rsid w:val="009C1252"/>
    <w:rsid w:val="009D2ED0"/>
    <w:rsid w:val="009E3FDC"/>
    <w:rsid w:val="00A10847"/>
    <w:rsid w:val="00AA123B"/>
    <w:rsid w:val="00B13604"/>
    <w:rsid w:val="00C22FB4"/>
    <w:rsid w:val="00CC0D8B"/>
    <w:rsid w:val="00CC7252"/>
    <w:rsid w:val="00D40237"/>
    <w:rsid w:val="00D63D53"/>
    <w:rsid w:val="00E113B5"/>
    <w:rsid w:val="00E22CDB"/>
    <w:rsid w:val="00E36FC1"/>
    <w:rsid w:val="00E962D4"/>
    <w:rsid w:val="00E963F0"/>
    <w:rsid w:val="00F01B9C"/>
    <w:rsid w:val="00F20BEB"/>
    <w:rsid w:val="00F27D41"/>
    <w:rsid w:val="00F67F52"/>
    <w:rsid w:val="00FA53B1"/>
    <w:rsid w:val="00FB0809"/>
    <w:rsid w:val="00FE4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1">
    <w:name w:val="未处理的提及1"/>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semiHidden/>
    <w:unhideWhenUsed/>
    <w:rsid w:val="009C1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C1252"/>
    <w:rPr>
      <w:sz w:val="18"/>
      <w:szCs w:val="18"/>
    </w:rPr>
  </w:style>
  <w:style w:type="paragraph" w:styleId="a7">
    <w:name w:val="footer"/>
    <w:basedOn w:val="a"/>
    <w:link w:val="Char0"/>
    <w:uiPriority w:val="99"/>
    <w:semiHidden/>
    <w:unhideWhenUsed/>
    <w:rsid w:val="009C125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C1252"/>
    <w:rPr>
      <w:sz w:val="18"/>
      <w:szCs w:val="18"/>
    </w:rPr>
  </w:style>
</w:styles>
</file>

<file path=word/webSettings.xml><?xml version="1.0" encoding="utf-8"?>
<w:webSettings xmlns:r="http://schemas.openxmlformats.org/officeDocument/2006/relationships" xmlns:w="http://schemas.openxmlformats.org/wordprocessingml/2006/main">
  <w:divs>
    <w:div w:id="137502162">
      <w:bodyDiv w:val="1"/>
      <w:marLeft w:val="0"/>
      <w:marRight w:val="0"/>
      <w:marTop w:val="0"/>
      <w:marBottom w:val="0"/>
      <w:divBdr>
        <w:top w:val="none" w:sz="0" w:space="0" w:color="auto"/>
        <w:left w:val="none" w:sz="0" w:space="0" w:color="auto"/>
        <w:bottom w:val="none" w:sz="0" w:space="0" w:color="auto"/>
        <w:right w:val="none" w:sz="0" w:space="0" w:color="auto"/>
      </w:divBdr>
    </w:div>
    <w:div w:id="285158954">
      <w:bodyDiv w:val="1"/>
      <w:marLeft w:val="0"/>
      <w:marRight w:val="0"/>
      <w:marTop w:val="0"/>
      <w:marBottom w:val="0"/>
      <w:divBdr>
        <w:top w:val="none" w:sz="0" w:space="0" w:color="auto"/>
        <w:left w:val="none" w:sz="0" w:space="0" w:color="auto"/>
        <w:bottom w:val="none" w:sz="0" w:space="0" w:color="auto"/>
        <w:right w:val="none" w:sz="0" w:space="0" w:color="auto"/>
      </w:divBdr>
    </w:div>
    <w:div w:id="469713346">
      <w:bodyDiv w:val="1"/>
      <w:marLeft w:val="0"/>
      <w:marRight w:val="0"/>
      <w:marTop w:val="0"/>
      <w:marBottom w:val="0"/>
      <w:divBdr>
        <w:top w:val="none" w:sz="0" w:space="0" w:color="auto"/>
        <w:left w:val="none" w:sz="0" w:space="0" w:color="auto"/>
        <w:bottom w:val="none" w:sz="0" w:space="0" w:color="auto"/>
        <w:right w:val="none" w:sz="0" w:space="0" w:color="auto"/>
      </w:divBdr>
    </w:div>
    <w:div w:id="899174728">
      <w:bodyDiv w:val="1"/>
      <w:marLeft w:val="0"/>
      <w:marRight w:val="0"/>
      <w:marTop w:val="0"/>
      <w:marBottom w:val="0"/>
      <w:divBdr>
        <w:top w:val="none" w:sz="0" w:space="0" w:color="auto"/>
        <w:left w:val="none" w:sz="0" w:space="0" w:color="auto"/>
        <w:bottom w:val="none" w:sz="0" w:space="0" w:color="auto"/>
        <w:right w:val="none" w:sz="0" w:space="0" w:color="auto"/>
      </w:divBdr>
    </w:div>
    <w:div w:id="964890277">
      <w:bodyDiv w:val="1"/>
      <w:marLeft w:val="0"/>
      <w:marRight w:val="0"/>
      <w:marTop w:val="0"/>
      <w:marBottom w:val="0"/>
      <w:divBdr>
        <w:top w:val="none" w:sz="0" w:space="0" w:color="auto"/>
        <w:left w:val="none" w:sz="0" w:space="0" w:color="auto"/>
        <w:bottom w:val="none" w:sz="0" w:space="0" w:color="auto"/>
        <w:right w:val="none" w:sz="0" w:space="0" w:color="auto"/>
      </w:divBdr>
    </w:div>
    <w:div w:id="995645105">
      <w:bodyDiv w:val="1"/>
      <w:marLeft w:val="0"/>
      <w:marRight w:val="0"/>
      <w:marTop w:val="0"/>
      <w:marBottom w:val="0"/>
      <w:divBdr>
        <w:top w:val="none" w:sz="0" w:space="0" w:color="auto"/>
        <w:left w:val="none" w:sz="0" w:space="0" w:color="auto"/>
        <w:bottom w:val="none" w:sz="0" w:space="0" w:color="auto"/>
        <w:right w:val="none" w:sz="0" w:space="0" w:color="auto"/>
      </w:divBdr>
    </w:div>
    <w:div w:id="1365868355">
      <w:bodyDiv w:val="1"/>
      <w:marLeft w:val="0"/>
      <w:marRight w:val="0"/>
      <w:marTop w:val="0"/>
      <w:marBottom w:val="0"/>
      <w:divBdr>
        <w:top w:val="none" w:sz="0" w:space="0" w:color="auto"/>
        <w:left w:val="none" w:sz="0" w:space="0" w:color="auto"/>
        <w:bottom w:val="none" w:sz="0" w:space="0" w:color="auto"/>
        <w:right w:val="none" w:sz="0" w:space="0" w:color="auto"/>
      </w:divBdr>
    </w:div>
    <w:div w:id="1544057269">
      <w:bodyDiv w:val="1"/>
      <w:marLeft w:val="0"/>
      <w:marRight w:val="0"/>
      <w:marTop w:val="0"/>
      <w:marBottom w:val="0"/>
      <w:divBdr>
        <w:top w:val="none" w:sz="0" w:space="0" w:color="auto"/>
        <w:left w:val="none" w:sz="0" w:space="0" w:color="auto"/>
        <w:bottom w:val="none" w:sz="0" w:space="0" w:color="auto"/>
        <w:right w:val="none" w:sz="0" w:space="0" w:color="auto"/>
      </w:divBdr>
    </w:div>
    <w:div w:id="1744522772">
      <w:bodyDiv w:val="1"/>
      <w:marLeft w:val="0"/>
      <w:marRight w:val="0"/>
      <w:marTop w:val="0"/>
      <w:marBottom w:val="0"/>
      <w:divBdr>
        <w:top w:val="none" w:sz="0" w:space="0" w:color="auto"/>
        <w:left w:val="none" w:sz="0" w:space="0" w:color="auto"/>
        <w:bottom w:val="none" w:sz="0" w:space="0" w:color="auto"/>
        <w:right w:val="none" w:sz="0" w:space="0" w:color="auto"/>
      </w:divBdr>
    </w:div>
    <w:div w:id="1976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eda.com"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2297</Characters>
  <Application>Microsoft Office Word</Application>
  <DocSecurity>4</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陈静红</dc:creator>
  <cp:lastModifiedBy>ZHONGM</cp:lastModifiedBy>
  <cp:revision>2</cp:revision>
  <dcterms:created xsi:type="dcterms:W3CDTF">2020-09-21T16:00:00Z</dcterms:created>
  <dcterms:modified xsi:type="dcterms:W3CDTF">2020-09-21T16:00:00Z</dcterms:modified>
</cp:coreProperties>
</file>