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C9" w:rsidRDefault="00A21E57" w:rsidP="005607C9">
      <w:pPr>
        <w:jc w:val="center"/>
        <w:rPr>
          <w:rFonts w:ascii="微软雅黑" w:hAnsi="微软雅黑"/>
          <w:color w:val="000000" w:themeColor="text1"/>
          <w:sz w:val="36"/>
          <w:szCs w:val="36"/>
        </w:rPr>
      </w:pPr>
      <w:r w:rsidRPr="005607C9">
        <w:rPr>
          <w:rFonts w:ascii="微软雅黑" w:hAnsi="微软雅黑"/>
          <w:color w:val="000000" w:themeColor="text1"/>
          <w:sz w:val="36"/>
          <w:szCs w:val="36"/>
        </w:rPr>
        <w:t>鹏华基金管理有限公司关于旗下基金投资非公开发行股票的公告</w:t>
      </w:r>
    </w:p>
    <w:p w:rsidR="005607C9" w:rsidRDefault="005607C9" w:rsidP="005607C9">
      <w:pPr>
        <w:ind w:firstLineChars="200" w:firstLine="56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A21E57" w:rsidRDefault="00A21E57" w:rsidP="001800D4">
      <w:pPr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5607C9">
        <w:rPr>
          <w:rFonts w:asciiTheme="minorEastAsia" w:hAnsiTheme="minorEastAsia"/>
          <w:color w:val="000000" w:themeColor="text1"/>
          <w:sz w:val="28"/>
          <w:szCs w:val="28"/>
        </w:rPr>
        <w:t>根据中国证券监督管理委员会颁布的《关于基金投资非公开发行股票等流通受限证券有关问题的通知》的要求，本公司就旗下部分基金</w:t>
      </w:r>
      <w:r w:rsidR="008169F1">
        <w:rPr>
          <w:rFonts w:ascii="宋体" w:hAnsi="宋体" w:cs="宋体" w:hint="eastAsia"/>
          <w:kern w:val="0"/>
          <w:sz w:val="28"/>
          <w:szCs w:val="28"/>
        </w:rPr>
        <w:t>参与了</w:t>
      </w:r>
      <w:r w:rsidR="000B705A" w:rsidRPr="000B705A">
        <w:rPr>
          <w:rFonts w:asciiTheme="minorEastAsia" w:hAnsiTheme="minorEastAsia" w:hint="eastAsia"/>
          <w:color w:val="000000" w:themeColor="text1"/>
          <w:sz w:val="28"/>
          <w:szCs w:val="28"/>
        </w:rPr>
        <w:t>天下秀数字科技(集团)股份有限公司</w:t>
      </w:r>
      <w:r w:rsidR="008169F1" w:rsidRPr="005607C9">
        <w:rPr>
          <w:rFonts w:asciiTheme="minorEastAsia" w:hAnsiTheme="minorEastAsia"/>
          <w:color w:val="000000" w:themeColor="text1"/>
          <w:sz w:val="28"/>
          <w:szCs w:val="28"/>
        </w:rPr>
        <w:t>（</w:t>
      </w:r>
      <w:r w:rsidR="000B705A">
        <w:rPr>
          <w:rFonts w:asciiTheme="minorEastAsia" w:hAnsiTheme="minorEastAsia"/>
          <w:color w:val="000000" w:themeColor="text1"/>
          <w:sz w:val="28"/>
          <w:szCs w:val="28"/>
        </w:rPr>
        <w:t>600556</w:t>
      </w:r>
      <w:r w:rsidR="008169F1" w:rsidRPr="005607C9">
        <w:rPr>
          <w:rFonts w:asciiTheme="minorEastAsia" w:hAnsiTheme="minorEastAsia"/>
          <w:color w:val="000000" w:themeColor="text1"/>
          <w:sz w:val="28"/>
          <w:szCs w:val="28"/>
        </w:rPr>
        <w:t>）</w:t>
      </w:r>
      <w:r w:rsidR="008169F1">
        <w:rPr>
          <w:rFonts w:ascii="宋体" w:hAnsi="宋体" w:cs="宋体" w:hint="eastAsia"/>
          <w:kern w:val="0"/>
          <w:sz w:val="28"/>
          <w:szCs w:val="28"/>
        </w:rPr>
        <w:t>非公开发行股票</w:t>
      </w:r>
      <w:r w:rsidRPr="005607C9">
        <w:rPr>
          <w:rFonts w:asciiTheme="minorEastAsia" w:hAnsiTheme="minorEastAsia"/>
          <w:color w:val="000000" w:themeColor="text1"/>
          <w:sz w:val="28"/>
          <w:szCs w:val="28"/>
        </w:rPr>
        <w:t>认购的相关信息公告如下：</w:t>
      </w:r>
    </w:p>
    <w:p w:rsidR="005607C9" w:rsidRPr="004F5BC5" w:rsidRDefault="005607C9" w:rsidP="005607C9">
      <w:pPr>
        <w:ind w:firstLineChars="200" w:firstLine="720"/>
        <w:jc w:val="center"/>
        <w:rPr>
          <w:rFonts w:ascii="微软雅黑" w:hAnsi="微软雅黑"/>
          <w:color w:val="000000" w:themeColor="text1"/>
          <w:sz w:val="36"/>
          <w:szCs w:val="36"/>
        </w:rPr>
      </w:pPr>
    </w:p>
    <w:tbl>
      <w:tblPr>
        <w:tblW w:w="9789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7"/>
        <w:gridCol w:w="1262"/>
        <w:gridCol w:w="1649"/>
        <w:gridCol w:w="1011"/>
        <w:gridCol w:w="1683"/>
        <w:gridCol w:w="1007"/>
        <w:gridCol w:w="1660"/>
      </w:tblGrid>
      <w:tr w:rsidR="00393481" w:rsidRPr="005607C9" w:rsidTr="00393481">
        <w:trPr>
          <w:trHeight w:val="1441"/>
          <w:tblCellSpacing w:w="0" w:type="dxa"/>
          <w:jc w:val="center"/>
        </w:trPr>
        <w:tc>
          <w:tcPr>
            <w:tcW w:w="1517" w:type="dxa"/>
            <w:vAlign w:val="center"/>
          </w:tcPr>
          <w:p w:rsidR="00393481" w:rsidRPr="005607C9" w:rsidRDefault="00393481" w:rsidP="00393481">
            <w:pPr>
              <w:widowControl/>
              <w:jc w:val="center"/>
              <w:rPr>
                <w:rFonts w:ascii="微软雅黑" w:eastAsia="宋体" w:hAnsi="微软雅黑" w:cs="宋体"/>
                <w:color w:val="000000" w:themeColor="text1"/>
                <w:kern w:val="0"/>
                <w:szCs w:val="21"/>
              </w:rPr>
            </w:pPr>
            <w:r w:rsidRPr="005607C9">
              <w:rPr>
                <w:rFonts w:ascii="微软雅黑" w:eastAsia="宋体" w:hAnsi="微软雅黑" w:cs="宋体" w:hint="eastAsia"/>
                <w:color w:val="000000" w:themeColor="text1"/>
                <w:kern w:val="0"/>
                <w:szCs w:val="21"/>
              </w:rPr>
              <w:t>名</w:t>
            </w:r>
            <w:r w:rsidRPr="005607C9">
              <w:rPr>
                <w:rFonts w:ascii="微软雅黑" w:eastAsia="宋体" w:hAnsi="微软雅黑" w:cs="宋体"/>
                <w:color w:val="000000" w:themeColor="text1"/>
                <w:kern w:val="0"/>
                <w:szCs w:val="21"/>
              </w:rPr>
              <w:t>称</w:t>
            </w:r>
          </w:p>
        </w:tc>
        <w:tc>
          <w:tcPr>
            <w:tcW w:w="1262" w:type="dxa"/>
            <w:vAlign w:val="center"/>
          </w:tcPr>
          <w:p w:rsidR="00393481" w:rsidRPr="005607C9" w:rsidRDefault="00393481" w:rsidP="00393481">
            <w:pPr>
              <w:widowControl/>
              <w:jc w:val="center"/>
              <w:rPr>
                <w:rFonts w:ascii="微软雅黑" w:eastAsia="宋体" w:hAnsi="微软雅黑" w:cs="宋体"/>
                <w:color w:val="000000" w:themeColor="text1"/>
                <w:kern w:val="0"/>
                <w:szCs w:val="21"/>
              </w:rPr>
            </w:pPr>
            <w:r w:rsidRPr="005607C9">
              <w:rPr>
                <w:rFonts w:ascii="微软雅黑" w:eastAsia="宋体" w:hAnsi="微软雅黑" w:cs="宋体"/>
                <w:color w:val="000000" w:themeColor="text1"/>
                <w:kern w:val="0"/>
                <w:szCs w:val="21"/>
              </w:rPr>
              <w:t>认购数量</w:t>
            </w:r>
          </w:p>
          <w:p w:rsidR="00393481" w:rsidRPr="005607C9" w:rsidRDefault="00393481" w:rsidP="00393481">
            <w:pPr>
              <w:widowControl/>
              <w:jc w:val="center"/>
              <w:rPr>
                <w:rFonts w:ascii="微软雅黑" w:eastAsia="宋体" w:hAnsi="微软雅黑" w:cs="宋体"/>
                <w:color w:val="000000" w:themeColor="text1"/>
                <w:kern w:val="0"/>
                <w:szCs w:val="21"/>
              </w:rPr>
            </w:pPr>
            <w:r w:rsidRPr="005607C9">
              <w:rPr>
                <w:rFonts w:ascii="微软雅黑" w:eastAsia="宋体" w:hAnsi="微软雅黑" w:cs="宋体"/>
                <w:color w:val="000000" w:themeColor="text1"/>
                <w:kern w:val="0"/>
                <w:szCs w:val="21"/>
              </w:rPr>
              <w:t>（股）</w:t>
            </w:r>
          </w:p>
        </w:tc>
        <w:tc>
          <w:tcPr>
            <w:tcW w:w="1649" w:type="dxa"/>
            <w:vAlign w:val="center"/>
          </w:tcPr>
          <w:p w:rsidR="00393481" w:rsidRPr="005607C9" w:rsidRDefault="00393481" w:rsidP="00393481">
            <w:pPr>
              <w:widowControl/>
              <w:jc w:val="center"/>
              <w:rPr>
                <w:rFonts w:ascii="微软雅黑" w:eastAsia="宋体" w:hAnsi="微软雅黑" w:cs="宋体"/>
                <w:color w:val="000000" w:themeColor="text1"/>
                <w:kern w:val="0"/>
                <w:szCs w:val="21"/>
              </w:rPr>
            </w:pPr>
            <w:r w:rsidRPr="005607C9">
              <w:rPr>
                <w:rFonts w:ascii="微软雅黑" w:eastAsia="宋体" w:hAnsi="微软雅黑" w:cs="宋体"/>
                <w:color w:val="000000" w:themeColor="text1"/>
                <w:kern w:val="0"/>
                <w:szCs w:val="21"/>
              </w:rPr>
              <w:t>总成本</w:t>
            </w:r>
          </w:p>
          <w:p w:rsidR="00393481" w:rsidRPr="005607C9" w:rsidRDefault="00393481" w:rsidP="00393481">
            <w:pPr>
              <w:widowControl/>
              <w:jc w:val="center"/>
              <w:rPr>
                <w:rFonts w:ascii="微软雅黑" w:eastAsia="宋体" w:hAnsi="微软雅黑" w:cs="宋体"/>
                <w:color w:val="000000" w:themeColor="text1"/>
                <w:kern w:val="0"/>
                <w:szCs w:val="21"/>
              </w:rPr>
            </w:pPr>
            <w:r w:rsidRPr="005607C9">
              <w:rPr>
                <w:rFonts w:ascii="微软雅黑" w:eastAsia="宋体" w:hAnsi="微软雅黑" w:cs="宋体"/>
                <w:color w:val="000000" w:themeColor="text1"/>
                <w:kern w:val="0"/>
                <w:szCs w:val="21"/>
              </w:rPr>
              <w:t>（元）</w:t>
            </w:r>
          </w:p>
        </w:tc>
        <w:tc>
          <w:tcPr>
            <w:tcW w:w="1011" w:type="dxa"/>
            <w:vAlign w:val="center"/>
          </w:tcPr>
          <w:p w:rsidR="00393481" w:rsidRPr="005607C9" w:rsidRDefault="00393481" w:rsidP="00393481">
            <w:pPr>
              <w:widowControl/>
              <w:jc w:val="center"/>
              <w:rPr>
                <w:rFonts w:ascii="微软雅黑" w:eastAsia="宋体" w:hAnsi="微软雅黑" w:cs="宋体"/>
                <w:color w:val="000000" w:themeColor="text1"/>
                <w:kern w:val="0"/>
                <w:szCs w:val="21"/>
              </w:rPr>
            </w:pPr>
            <w:r w:rsidRPr="005607C9">
              <w:rPr>
                <w:rFonts w:ascii="微软雅黑" w:eastAsia="宋体" w:hAnsi="微软雅黑" w:cs="宋体"/>
                <w:color w:val="000000" w:themeColor="text1"/>
                <w:kern w:val="0"/>
                <w:szCs w:val="21"/>
              </w:rPr>
              <w:t>总成本占基金资产净值比例</w:t>
            </w:r>
          </w:p>
        </w:tc>
        <w:tc>
          <w:tcPr>
            <w:tcW w:w="1683" w:type="dxa"/>
            <w:vAlign w:val="center"/>
          </w:tcPr>
          <w:p w:rsidR="00393481" w:rsidRPr="005607C9" w:rsidRDefault="00393481" w:rsidP="00393481">
            <w:pPr>
              <w:widowControl/>
              <w:jc w:val="center"/>
              <w:rPr>
                <w:rFonts w:ascii="微软雅黑" w:eastAsia="宋体" w:hAnsi="微软雅黑" w:cs="宋体"/>
                <w:color w:val="000000" w:themeColor="text1"/>
                <w:kern w:val="0"/>
                <w:szCs w:val="21"/>
              </w:rPr>
            </w:pPr>
            <w:r w:rsidRPr="005607C9">
              <w:rPr>
                <w:rFonts w:ascii="微软雅黑" w:eastAsia="宋体" w:hAnsi="微软雅黑" w:cs="宋体"/>
                <w:color w:val="000000" w:themeColor="text1"/>
                <w:kern w:val="0"/>
                <w:szCs w:val="21"/>
              </w:rPr>
              <w:t>账面价值</w:t>
            </w:r>
          </w:p>
          <w:p w:rsidR="00393481" w:rsidRPr="005607C9" w:rsidRDefault="00393481" w:rsidP="00393481">
            <w:pPr>
              <w:widowControl/>
              <w:jc w:val="center"/>
              <w:rPr>
                <w:rFonts w:ascii="微软雅黑" w:eastAsia="宋体" w:hAnsi="微软雅黑" w:cs="宋体"/>
                <w:color w:val="000000" w:themeColor="text1"/>
                <w:kern w:val="0"/>
                <w:szCs w:val="21"/>
              </w:rPr>
            </w:pPr>
            <w:r w:rsidRPr="005607C9">
              <w:rPr>
                <w:rFonts w:ascii="微软雅黑" w:eastAsia="宋体" w:hAnsi="微软雅黑" w:cs="宋体"/>
                <w:color w:val="000000" w:themeColor="text1"/>
                <w:kern w:val="0"/>
                <w:szCs w:val="21"/>
              </w:rPr>
              <w:t>（元）</w:t>
            </w:r>
          </w:p>
        </w:tc>
        <w:tc>
          <w:tcPr>
            <w:tcW w:w="1007" w:type="dxa"/>
            <w:vAlign w:val="center"/>
          </w:tcPr>
          <w:p w:rsidR="00393481" w:rsidRPr="005607C9" w:rsidRDefault="00393481" w:rsidP="00393481">
            <w:pPr>
              <w:widowControl/>
              <w:jc w:val="center"/>
              <w:rPr>
                <w:rFonts w:ascii="微软雅黑" w:eastAsia="宋体" w:hAnsi="微软雅黑" w:cs="宋体"/>
                <w:color w:val="000000" w:themeColor="text1"/>
                <w:kern w:val="0"/>
                <w:szCs w:val="21"/>
              </w:rPr>
            </w:pPr>
            <w:r w:rsidRPr="005607C9">
              <w:rPr>
                <w:rFonts w:ascii="微软雅黑" w:eastAsia="宋体" w:hAnsi="微软雅黑" w:cs="宋体"/>
                <w:color w:val="000000" w:themeColor="text1"/>
                <w:kern w:val="0"/>
                <w:szCs w:val="21"/>
              </w:rPr>
              <w:t>账面价值占基金资产净值比例</w:t>
            </w:r>
          </w:p>
        </w:tc>
        <w:tc>
          <w:tcPr>
            <w:tcW w:w="1660" w:type="dxa"/>
            <w:vAlign w:val="center"/>
          </w:tcPr>
          <w:p w:rsidR="00393481" w:rsidRPr="005607C9" w:rsidRDefault="00393481" w:rsidP="00393481">
            <w:pPr>
              <w:widowControl/>
              <w:jc w:val="center"/>
              <w:rPr>
                <w:rFonts w:ascii="微软雅黑" w:eastAsia="宋体" w:hAnsi="微软雅黑" w:cs="宋体"/>
                <w:color w:val="000000" w:themeColor="text1"/>
                <w:kern w:val="0"/>
                <w:szCs w:val="21"/>
              </w:rPr>
            </w:pPr>
            <w:r w:rsidRPr="005607C9">
              <w:rPr>
                <w:rFonts w:ascii="微软雅黑" w:eastAsia="宋体" w:hAnsi="微软雅黑" w:cs="宋体"/>
                <w:color w:val="000000" w:themeColor="text1"/>
                <w:kern w:val="0"/>
                <w:szCs w:val="21"/>
              </w:rPr>
              <w:t>锁定期</w:t>
            </w:r>
          </w:p>
        </w:tc>
      </w:tr>
      <w:tr w:rsidR="00C65C80" w:rsidRPr="00C65C80" w:rsidTr="00393481">
        <w:trPr>
          <w:tblCellSpacing w:w="0" w:type="dxa"/>
          <w:jc w:val="center"/>
        </w:trPr>
        <w:tc>
          <w:tcPr>
            <w:tcW w:w="1517" w:type="dxa"/>
            <w:vAlign w:val="center"/>
          </w:tcPr>
          <w:p w:rsidR="00C65C80" w:rsidRDefault="00C65C80" w:rsidP="00C65C80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鹏华优质治理混合型证券投资基金</w:t>
            </w:r>
            <w:r>
              <w:rPr>
                <w:color w:val="000000"/>
                <w:sz w:val="22"/>
              </w:rPr>
              <w:t>(LOF)</w:t>
            </w:r>
          </w:p>
        </w:tc>
        <w:tc>
          <w:tcPr>
            <w:tcW w:w="1262" w:type="dxa"/>
            <w:vAlign w:val="center"/>
          </w:tcPr>
          <w:p w:rsidR="00C65C80" w:rsidRPr="00C65C80" w:rsidRDefault="00C65C80" w:rsidP="00C65C80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 w:rsidRPr="00C65C80">
              <w:rPr>
                <w:rFonts w:cs="Arial" w:hint="eastAsia"/>
                <w:color w:val="000000"/>
                <w:szCs w:val="21"/>
              </w:rPr>
              <w:t>1,201,201.00</w:t>
            </w:r>
          </w:p>
        </w:tc>
        <w:tc>
          <w:tcPr>
            <w:tcW w:w="1649" w:type="dxa"/>
            <w:vAlign w:val="center"/>
          </w:tcPr>
          <w:p w:rsidR="00C65C80" w:rsidRPr="00C65C80" w:rsidRDefault="00C65C80" w:rsidP="00C65C80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 w:rsidRPr="00C65C80">
              <w:rPr>
                <w:rFonts w:cs="Arial" w:hint="eastAsia"/>
                <w:color w:val="000000"/>
                <w:szCs w:val="21"/>
              </w:rPr>
              <w:t>19,999,996.65</w:t>
            </w:r>
          </w:p>
        </w:tc>
        <w:tc>
          <w:tcPr>
            <w:tcW w:w="1011" w:type="dxa"/>
            <w:vAlign w:val="center"/>
          </w:tcPr>
          <w:p w:rsidR="00C65C80" w:rsidRPr="00C65C80" w:rsidRDefault="00C65C80" w:rsidP="00C65C80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 w:rsidRPr="00C65C80">
              <w:rPr>
                <w:rFonts w:cs="Arial" w:hint="eastAsia"/>
                <w:color w:val="000000"/>
                <w:szCs w:val="21"/>
              </w:rPr>
              <w:t>2.1755%</w:t>
            </w:r>
          </w:p>
        </w:tc>
        <w:tc>
          <w:tcPr>
            <w:tcW w:w="1683" w:type="dxa"/>
            <w:vAlign w:val="center"/>
          </w:tcPr>
          <w:p w:rsidR="00C65C80" w:rsidRPr="00C65C80" w:rsidRDefault="00C65C80" w:rsidP="00C65C80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 w:rsidRPr="00C65C80">
              <w:rPr>
                <w:rFonts w:cs="Arial" w:hint="eastAsia"/>
                <w:color w:val="000000"/>
                <w:szCs w:val="21"/>
              </w:rPr>
              <w:t>20,060,056.70</w:t>
            </w:r>
          </w:p>
        </w:tc>
        <w:tc>
          <w:tcPr>
            <w:tcW w:w="1007" w:type="dxa"/>
            <w:vAlign w:val="center"/>
          </w:tcPr>
          <w:p w:rsidR="00C65C80" w:rsidRPr="00C65C80" w:rsidRDefault="00C65C80" w:rsidP="00C65C80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 w:rsidRPr="00C65C80">
              <w:rPr>
                <w:rFonts w:cs="Arial" w:hint="eastAsia"/>
                <w:color w:val="000000"/>
                <w:szCs w:val="21"/>
              </w:rPr>
              <w:t>1.2535%</w:t>
            </w:r>
          </w:p>
        </w:tc>
        <w:tc>
          <w:tcPr>
            <w:tcW w:w="1660" w:type="dxa"/>
            <w:vAlign w:val="center"/>
          </w:tcPr>
          <w:p w:rsidR="00C65C80" w:rsidRPr="00C65C80" w:rsidRDefault="00C65C80" w:rsidP="00C65C80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6个月</w:t>
            </w:r>
          </w:p>
        </w:tc>
      </w:tr>
      <w:tr w:rsidR="00A7382F" w:rsidRPr="005607C9" w:rsidTr="00393481">
        <w:trPr>
          <w:tblCellSpacing w:w="0" w:type="dxa"/>
          <w:jc w:val="center"/>
        </w:trPr>
        <w:tc>
          <w:tcPr>
            <w:tcW w:w="1517" w:type="dxa"/>
            <w:vAlign w:val="center"/>
          </w:tcPr>
          <w:p w:rsidR="00A7382F" w:rsidRDefault="00A7382F" w:rsidP="00A738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鹏华价值驱动混合型证券投资基金</w:t>
            </w:r>
          </w:p>
        </w:tc>
        <w:tc>
          <w:tcPr>
            <w:tcW w:w="1262" w:type="dxa"/>
            <w:vAlign w:val="center"/>
          </w:tcPr>
          <w:p w:rsidR="00A7382F" w:rsidRPr="00A7382F" w:rsidRDefault="00A7382F" w:rsidP="00A7382F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 w:rsidRPr="00A7382F">
              <w:rPr>
                <w:rFonts w:cs="Arial" w:hint="eastAsia"/>
                <w:color w:val="000000"/>
                <w:szCs w:val="21"/>
              </w:rPr>
              <w:t>1,501,501.00</w:t>
            </w:r>
          </w:p>
        </w:tc>
        <w:tc>
          <w:tcPr>
            <w:tcW w:w="1649" w:type="dxa"/>
            <w:vAlign w:val="center"/>
          </w:tcPr>
          <w:p w:rsidR="00A7382F" w:rsidRPr="00A7382F" w:rsidRDefault="00A7382F" w:rsidP="00A7382F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 w:rsidRPr="00A7382F">
              <w:rPr>
                <w:rFonts w:cs="Arial" w:hint="eastAsia"/>
                <w:color w:val="000000"/>
                <w:szCs w:val="21"/>
              </w:rPr>
              <w:t>24,999,991.65</w:t>
            </w:r>
          </w:p>
        </w:tc>
        <w:tc>
          <w:tcPr>
            <w:tcW w:w="1011" w:type="dxa"/>
            <w:vAlign w:val="center"/>
          </w:tcPr>
          <w:p w:rsidR="00A7382F" w:rsidRPr="00A7382F" w:rsidRDefault="00B219C8" w:rsidP="00A7382F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2.1657</w:t>
            </w:r>
            <w:r w:rsidR="00A7382F" w:rsidRPr="00A7382F">
              <w:rPr>
                <w:rFonts w:cs="Arial" w:hint="eastAsia"/>
                <w:color w:val="000000"/>
                <w:szCs w:val="21"/>
              </w:rPr>
              <w:t>%</w:t>
            </w:r>
          </w:p>
        </w:tc>
        <w:tc>
          <w:tcPr>
            <w:tcW w:w="1683" w:type="dxa"/>
            <w:vAlign w:val="center"/>
          </w:tcPr>
          <w:p w:rsidR="00A7382F" w:rsidRPr="00A7382F" w:rsidRDefault="00A7382F" w:rsidP="00A7382F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 w:rsidRPr="00A7382F">
              <w:rPr>
                <w:rFonts w:cs="Arial" w:hint="eastAsia"/>
                <w:color w:val="000000"/>
                <w:szCs w:val="21"/>
              </w:rPr>
              <w:t>25,075,066.70</w:t>
            </w:r>
          </w:p>
        </w:tc>
        <w:tc>
          <w:tcPr>
            <w:tcW w:w="1007" w:type="dxa"/>
            <w:vAlign w:val="center"/>
          </w:tcPr>
          <w:p w:rsidR="00A7382F" w:rsidRPr="00A7382F" w:rsidRDefault="00A7382F" w:rsidP="00A7382F">
            <w:pPr>
              <w:jc w:val="center"/>
              <w:rPr>
                <w:rFonts w:cs="Arial"/>
                <w:color w:val="000000"/>
                <w:szCs w:val="21"/>
              </w:rPr>
            </w:pPr>
            <w:r w:rsidRPr="00A7382F">
              <w:rPr>
                <w:rFonts w:cs="Arial" w:hint="eastAsia"/>
                <w:color w:val="000000"/>
                <w:szCs w:val="21"/>
              </w:rPr>
              <w:t>1.7239%</w:t>
            </w:r>
          </w:p>
        </w:tc>
        <w:tc>
          <w:tcPr>
            <w:tcW w:w="1660" w:type="dxa"/>
            <w:vAlign w:val="center"/>
          </w:tcPr>
          <w:p w:rsidR="00A7382F" w:rsidRDefault="00A7382F" w:rsidP="00A7382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6个月</w:t>
            </w:r>
          </w:p>
        </w:tc>
      </w:tr>
      <w:tr w:rsidR="00F847E0" w:rsidRPr="005607C9" w:rsidTr="00393481">
        <w:trPr>
          <w:tblCellSpacing w:w="0" w:type="dxa"/>
          <w:jc w:val="center"/>
        </w:trPr>
        <w:tc>
          <w:tcPr>
            <w:tcW w:w="1517" w:type="dxa"/>
            <w:vAlign w:val="center"/>
          </w:tcPr>
          <w:p w:rsidR="00F847E0" w:rsidRDefault="00F847E0" w:rsidP="00F847E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鹏华创新驱动混合型证券投资基金</w:t>
            </w:r>
          </w:p>
        </w:tc>
        <w:tc>
          <w:tcPr>
            <w:tcW w:w="1262" w:type="dxa"/>
            <w:vAlign w:val="center"/>
          </w:tcPr>
          <w:p w:rsidR="00F847E0" w:rsidRPr="00F847E0" w:rsidRDefault="00F847E0" w:rsidP="00F847E0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 w:rsidRPr="00F847E0">
              <w:rPr>
                <w:rFonts w:cs="Arial"/>
                <w:color w:val="000000"/>
                <w:szCs w:val="21"/>
              </w:rPr>
              <w:t>1,201,201.00</w:t>
            </w:r>
          </w:p>
        </w:tc>
        <w:tc>
          <w:tcPr>
            <w:tcW w:w="1649" w:type="dxa"/>
            <w:vAlign w:val="center"/>
          </w:tcPr>
          <w:p w:rsidR="00F847E0" w:rsidRPr="00F847E0" w:rsidRDefault="00F847E0" w:rsidP="00F847E0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 w:rsidRPr="00F847E0">
              <w:rPr>
                <w:rFonts w:cs="Arial"/>
                <w:color w:val="000000"/>
                <w:szCs w:val="21"/>
              </w:rPr>
              <w:t>19,999,996.65</w:t>
            </w:r>
          </w:p>
        </w:tc>
        <w:tc>
          <w:tcPr>
            <w:tcW w:w="1011" w:type="dxa"/>
            <w:vAlign w:val="center"/>
          </w:tcPr>
          <w:p w:rsidR="00F847E0" w:rsidRPr="00F847E0" w:rsidRDefault="00F847E0" w:rsidP="00F847E0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 w:rsidRPr="00F847E0">
              <w:rPr>
                <w:rFonts w:cs="Arial"/>
                <w:color w:val="000000"/>
                <w:szCs w:val="21"/>
              </w:rPr>
              <w:t>5.5819</w:t>
            </w:r>
            <w:r w:rsidRPr="00F847E0">
              <w:rPr>
                <w:rFonts w:cs="Arial" w:hint="eastAsia"/>
                <w:color w:val="000000"/>
                <w:szCs w:val="21"/>
              </w:rPr>
              <w:t>%</w:t>
            </w:r>
          </w:p>
        </w:tc>
        <w:tc>
          <w:tcPr>
            <w:tcW w:w="1683" w:type="dxa"/>
            <w:vAlign w:val="center"/>
          </w:tcPr>
          <w:p w:rsidR="00F847E0" w:rsidRPr="00F847E0" w:rsidRDefault="00F847E0" w:rsidP="00F847E0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 w:rsidRPr="00F847E0">
              <w:rPr>
                <w:rFonts w:cs="Arial"/>
                <w:color w:val="000000"/>
                <w:szCs w:val="21"/>
              </w:rPr>
              <w:t>20,060,056.70</w:t>
            </w:r>
          </w:p>
        </w:tc>
        <w:tc>
          <w:tcPr>
            <w:tcW w:w="1007" w:type="dxa"/>
            <w:vAlign w:val="center"/>
          </w:tcPr>
          <w:p w:rsidR="00F847E0" w:rsidRPr="00F847E0" w:rsidRDefault="00F847E0" w:rsidP="00F847E0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 w:rsidRPr="00F847E0">
              <w:rPr>
                <w:rFonts w:cs="Arial"/>
                <w:color w:val="000000"/>
                <w:szCs w:val="21"/>
              </w:rPr>
              <w:t>4.4717</w:t>
            </w:r>
            <w:r w:rsidRPr="00F847E0">
              <w:rPr>
                <w:rFonts w:cs="Arial" w:hint="eastAsia"/>
                <w:color w:val="000000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:rsidR="00F847E0" w:rsidRPr="00F847E0" w:rsidRDefault="00F847E0" w:rsidP="00F847E0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 w:rsidRPr="00F847E0">
              <w:rPr>
                <w:rFonts w:cs="Arial" w:hint="eastAsia"/>
                <w:color w:val="000000"/>
                <w:szCs w:val="21"/>
              </w:rPr>
              <w:t>6</w:t>
            </w:r>
            <w:r w:rsidRPr="00F847E0">
              <w:rPr>
                <w:rFonts w:cs="Arial" w:hint="eastAsia"/>
                <w:color w:val="000000"/>
                <w:szCs w:val="21"/>
              </w:rPr>
              <w:t>个月</w:t>
            </w:r>
          </w:p>
        </w:tc>
      </w:tr>
      <w:tr w:rsidR="00F847E0" w:rsidRPr="005607C9" w:rsidTr="00393481">
        <w:trPr>
          <w:tblCellSpacing w:w="0" w:type="dxa"/>
          <w:jc w:val="center"/>
        </w:trPr>
        <w:tc>
          <w:tcPr>
            <w:tcW w:w="1517" w:type="dxa"/>
            <w:vAlign w:val="center"/>
          </w:tcPr>
          <w:p w:rsidR="00F847E0" w:rsidRPr="000B705A" w:rsidRDefault="00F847E0" w:rsidP="00F847E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</w:rPr>
              <w:t>鹏华新兴产业混合型证券投资基金</w:t>
            </w:r>
          </w:p>
        </w:tc>
        <w:tc>
          <w:tcPr>
            <w:tcW w:w="1262" w:type="dxa"/>
            <w:vAlign w:val="center"/>
          </w:tcPr>
          <w:p w:rsidR="00F847E0" w:rsidRPr="00F847E0" w:rsidRDefault="00F847E0" w:rsidP="00F847E0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 w:rsidRPr="00F847E0">
              <w:rPr>
                <w:rFonts w:cs="Arial" w:hint="eastAsia"/>
                <w:color w:val="000000"/>
                <w:szCs w:val="21"/>
              </w:rPr>
              <w:t>2,102,102.00</w:t>
            </w:r>
          </w:p>
        </w:tc>
        <w:tc>
          <w:tcPr>
            <w:tcW w:w="1649" w:type="dxa"/>
            <w:vAlign w:val="center"/>
          </w:tcPr>
          <w:p w:rsidR="00F847E0" w:rsidRPr="00F847E0" w:rsidRDefault="00F847E0" w:rsidP="00F847E0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 w:rsidRPr="00F847E0">
              <w:rPr>
                <w:rFonts w:cs="Arial" w:hint="eastAsia"/>
                <w:color w:val="000000"/>
                <w:szCs w:val="21"/>
              </w:rPr>
              <w:t>34,999,998.30</w:t>
            </w:r>
          </w:p>
        </w:tc>
        <w:tc>
          <w:tcPr>
            <w:tcW w:w="1011" w:type="dxa"/>
            <w:vAlign w:val="center"/>
          </w:tcPr>
          <w:p w:rsidR="00F847E0" w:rsidRPr="00F847E0" w:rsidRDefault="00F847E0" w:rsidP="00F847E0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 w:rsidRPr="00F847E0">
              <w:rPr>
                <w:rFonts w:cs="Arial" w:hint="eastAsia"/>
                <w:color w:val="000000"/>
                <w:szCs w:val="21"/>
              </w:rPr>
              <w:t>0.30</w:t>
            </w:r>
            <w:r w:rsidRPr="00F847E0">
              <w:rPr>
                <w:rFonts w:cs="Arial"/>
                <w:color w:val="000000"/>
                <w:szCs w:val="21"/>
              </w:rPr>
              <w:t>57%</w:t>
            </w:r>
          </w:p>
        </w:tc>
        <w:tc>
          <w:tcPr>
            <w:tcW w:w="1683" w:type="dxa"/>
            <w:vAlign w:val="center"/>
          </w:tcPr>
          <w:p w:rsidR="00F847E0" w:rsidRPr="00F847E0" w:rsidRDefault="00F847E0" w:rsidP="00F847E0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 w:rsidRPr="00F847E0">
              <w:rPr>
                <w:rFonts w:cs="Arial" w:hint="eastAsia"/>
                <w:color w:val="000000"/>
                <w:szCs w:val="21"/>
              </w:rPr>
              <w:t>35,105,103.40</w:t>
            </w:r>
          </w:p>
        </w:tc>
        <w:tc>
          <w:tcPr>
            <w:tcW w:w="1007" w:type="dxa"/>
            <w:vAlign w:val="center"/>
          </w:tcPr>
          <w:p w:rsidR="00F847E0" w:rsidRPr="00F847E0" w:rsidRDefault="00F847E0" w:rsidP="00F847E0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 w:rsidRPr="00F847E0">
              <w:rPr>
                <w:rFonts w:cs="Arial" w:hint="eastAsia"/>
                <w:color w:val="000000"/>
                <w:szCs w:val="21"/>
              </w:rPr>
              <w:t>0.2309%</w:t>
            </w:r>
          </w:p>
        </w:tc>
        <w:tc>
          <w:tcPr>
            <w:tcW w:w="1660" w:type="dxa"/>
            <w:vAlign w:val="center"/>
          </w:tcPr>
          <w:p w:rsidR="00F847E0" w:rsidRPr="00F847E0" w:rsidRDefault="00F847E0" w:rsidP="00F847E0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 w:rsidRPr="00F847E0">
              <w:rPr>
                <w:rFonts w:cs="Arial" w:hint="eastAsia"/>
                <w:color w:val="000000"/>
                <w:szCs w:val="21"/>
              </w:rPr>
              <w:t>6</w:t>
            </w:r>
            <w:r w:rsidRPr="00F847E0">
              <w:rPr>
                <w:rFonts w:cs="Arial" w:hint="eastAsia"/>
                <w:color w:val="000000"/>
                <w:szCs w:val="21"/>
              </w:rPr>
              <w:t>个月</w:t>
            </w:r>
          </w:p>
        </w:tc>
      </w:tr>
      <w:tr w:rsidR="00393481" w:rsidRPr="005607C9" w:rsidTr="00393481">
        <w:trPr>
          <w:tblCellSpacing w:w="0" w:type="dxa"/>
          <w:jc w:val="center"/>
        </w:trPr>
        <w:tc>
          <w:tcPr>
            <w:tcW w:w="1517" w:type="dxa"/>
            <w:vAlign w:val="center"/>
          </w:tcPr>
          <w:p w:rsidR="00393481" w:rsidRPr="005607C9" w:rsidRDefault="00BF4DA2" w:rsidP="0039348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BF4DA2">
              <w:rPr>
                <w:rFonts w:hint="eastAsia"/>
                <w:color w:val="000000"/>
                <w:sz w:val="22"/>
              </w:rPr>
              <w:t>鹏华前海万科</w:t>
            </w:r>
            <w:r w:rsidRPr="00BF4DA2">
              <w:rPr>
                <w:rFonts w:hint="eastAsia"/>
                <w:color w:val="000000"/>
                <w:sz w:val="22"/>
              </w:rPr>
              <w:t>REITs</w:t>
            </w:r>
            <w:r w:rsidRPr="00BF4DA2">
              <w:rPr>
                <w:rFonts w:hint="eastAsia"/>
                <w:color w:val="000000"/>
                <w:sz w:val="22"/>
              </w:rPr>
              <w:t>封闭式混合型发起式证券投资基金</w:t>
            </w:r>
          </w:p>
        </w:tc>
        <w:tc>
          <w:tcPr>
            <w:tcW w:w="1262" w:type="dxa"/>
            <w:vAlign w:val="center"/>
          </w:tcPr>
          <w:p w:rsidR="00393481" w:rsidRPr="00B219C8" w:rsidRDefault="00B219C8" w:rsidP="00393481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 w:rsidRPr="00B219C8">
              <w:rPr>
                <w:rFonts w:cs="Arial" w:hint="eastAsia"/>
                <w:color w:val="000000"/>
                <w:szCs w:val="21"/>
              </w:rPr>
              <w:t>600</w:t>
            </w:r>
            <w:r w:rsidRPr="00B219C8">
              <w:rPr>
                <w:rFonts w:cs="Arial"/>
                <w:color w:val="000000"/>
                <w:szCs w:val="21"/>
              </w:rPr>
              <w:t>,600.00</w:t>
            </w:r>
          </w:p>
        </w:tc>
        <w:tc>
          <w:tcPr>
            <w:tcW w:w="1649" w:type="dxa"/>
            <w:vAlign w:val="center"/>
          </w:tcPr>
          <w:p w:rsidR="00393481" w:rsidRPr="00B219C8" w:rsidRDefault="00B219C8" w:rsidP="00393481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9,999,990.00</w:t>
            </w:r>
          </w:p>
        </w:tc>
        <w:tc>
          <w:tcPr>
            <w:tcW w:w="1011" w:type="dxa"/>
            <w:vAlign w:val="center"/>
          </w:tcPr>
          <w:p w:rsidR="00393481" w:rsidRPr="00B219C8" w:rsidRDefault="00B219C8" w:rsidP="00393481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0.3096%</w:t>
            </w:r>
          </w:p>
        </w:tc>
        <w:tc>
          <w:tcPr>
            <w:tcW w:w="1683" w:type="dxa"/>
            <w:vAlign w:val="center"/>
          </w:tcPr>
          <w:p w:rsidR="00393481" w:rsidRPr="00B219C8" w:rsidRDefault="00B219C8" w:rsidP="00393481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10,030,020.00</w:t>
            </w:r>
          </w:p>
        </w:tc>
        <w:tc>
          <w:tcPr>
            <w:tcW w:w="1007" w:type="dxa"/>
            <w:vAlign w:val="center"/>
          </w:tcPr>
          <w:p w:rsidR="00393481" w:rsidRPr="00B219C8" w:rsidRDefault="00B219C8" w:rsidP="00393481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0.3119%</w:t>
            </w:r>
          </w:p>
        </w:tc>
        <w:tc>
          <w:tcPr>
            <w:tcW w:w="1660" w:type="dxa"/>
            <w:vAlign w:val="center"/>
          </w:tcPr>
          <w:p w:rsidR="00393481" w:rsidRPr="00B219C8" w:rsidRDefault="00B219C8" w:rsidP="00393481">
            <w:pPr>
              <w:widowControl/>
              <w:jc w:val="center"/>
              <w:rPr>
                <w:rFonts w:cs="Arial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6个月</w:t>
            </w:r>
          </w:p>
        </w:tc>
      </w:tr>
    </w:tbl>
    <w:p w:rsidR="00A21E57" w:rsidRPr="00A83ECB" w:rsidRDefault="00A83ECB" w:rsidP="00A83ECB">
      <w:pPr>
        <w:widowControl/>
        <w:rPr>
          <w:rFonts w:ascii="微软雅黑" w:eastAsia="宋体" w:hAnsi="微软雅黑" w:cs="宋体"/>
          <w:color w:val="000000" w:themeColor="text1"/>
          <w:kern w:val="0"/>
          <w:szCs w:val="21"/>
        </w:rPr>
      </w:pPr>
      <w:r w:rsidRPr="00A83ECB">
        <w:rPr>
          <w:rFonts w:ascii="微软雅黑" w:eastAsia="宋体" w:hAnsi="微软雅黑" w:cs="宋体"/>
          <w:color w:val="000000" w:themeColor="text1"/>
          <w:kern w:val="0"/>
          <w:szCs w:val="21"/>
        </w:rPr>
        <w:t>注：基金资产净值、账面价值为</w:t>
      </w:r>
      <w:r>
        <w:rPr>
          <w:rFonts w:ascii="微软雅黑" w:eastAsia="宋体" w:hAnsi="微软雅黑" w:cs="宋体"/>
          <w:color w:val="000000" w:themeColor="text1"/>
          <w:kern w:val="0"/>
          <w:szCs w:val="21"/>
        </w:rPr>
        <w:t>20</w:t>
      </w:r>
      <w:r w:rsidR="00E84DCB">
        <w:rPr>
          <w:rFonts w:ascii="微软雅黑" w:eastAsia="宋体" w:hAnsi="微软雅黑" w:cs="宋体"/>
          <w:color w:val="000000" w:themeColor="text1"/>
          <w:kern w:val="0"/>
          <w:szCs w:val="21"/>
        </w:rPr>
        <w:t>20</w:t>
      </w:r>
      <w:r w:rsidRPr="00A83ECB">
        <w:rPr>
          <w:rFonts w:ascii="微软雅黑" w:eastAsia="宋体" w:hAnsi="微软雅黑" w:cs="宋体"/>
          <w:color w:val="000000" w:themeColor="text1"/>
          <w:kern w:val="0"/>
          <w:szCs w:val="21"/>
        </w:rPr>
        <w:t>年</w:t>
      </w:r>
      <w:r w:rsidR="00BF4DA2">
        <w:rPr>
          <w:rFonts w:ascii="微软雅黑" w:eastAsia="宋体" w:hAnsi="微软雅黑" w:cs="宋体"/>
          <w:color w:val="000000" w:themeColor="text1"/>
          <w:kern w:val="0"/>
          <w:szCs w:val="21"/>
        </w:rPr>
        <w:t>9</w:t>
      </w:r>
      <w:r w:rsidRPr="00A83ECB">
        <w:rPr>
          <w:rFonts w:ascii="微软雅黑" w:eastAsia="宋体" w:hAnsi="微软雅黑" w:cs="宋体"/>
          <w:color w:val="000000" w:themeColor="text1"/>
          <w:kern w:val="0"/>
          <w:szCs w:val="21"/>
        </w:rPr>
        <w:t>月</w:t>
      </w:r>
      <w:r w:rsidR="00BF4DA2">
        <w:rPr>
          <w:rFonts w:ascii="微软雅黑" w:eastAsia="宋体" w:hAnsi="微软雅黑" w:cs="宋体"/>
          <w:color w:val="000000" w:themeColor="text1"/>
          <w:kern w:val="0"/>
          <w:szCs w:val="21"/>
        </w:rPr>
        <w:t>1</w:t>
      </w:r>
      <w:r w:rsidR="000B705A">
        <w:rPr>
          <w:rFonts w:ascii="微软雅黑" w:eastAsia="宋体" w:hAnsi="微软雅黑" w:cs="宋体"/>
          <w:color w:val="000000" w:themeColor="text1"/>
          <w:kern w:val="0"/>
          <w:szCs w:val="21"/>
        </w:rPr>
        <w:t>8</w:t>
      </w:r>
      <w:r w:rsidRPr="00A83ECB">
        <w:rPr>
          <w:rFonts w:ascii="微软雅黑" w:eastAsia="宋体" w:hAnsi="微软雅黑" w:cs="宋体"/>
          <w:color w:val="000000" w:themeColor="text1"/>
          <w:kern w:val="0"/>
          <w:szCs w:val="21"/>
        </w:rPr>
        <w:t>日日终数据。</w:t>
      </w:r>
    </w:p>
    <w:p w:rsidR="00CC33DB" w:rsidRPr="00004D8E" w:rsidRDefault="00CC33DB" w:rsidP="00CC33DB">
      <w:pPr>
        <w:ind w:firstLineChars="150" w:firstLine="420"/>
        <w:rPr>
          <w:rFonts w:asciiTheme="minorEastAsia" w:hAnsiTheme="minorEastAsia"/>
          <w:color w:val="000000" w:themeColor="text1"/>
          <w:sz w:val="28"/>
          <w:szCs w:val="28"/>
        </w:rPr>
      </w:pPr>
      <w:bookmarkStart w:id="0" w:name="_GoBack"/>
      <w:bookmarkEnd w:id="0"/>
    </w:p>
    <w:p w:rsidR="00CC33DB" w:rsidRDefault="00CC33DB" w:rsidP="00CC33DB">
      <w:pPr>
        <w:ind w:firstLineChars="150" w:firstLine="420"/>
        <w:rPr>
          <w:rFonts w:asciiTheme="minorEastAsia" w:hAnsiTheme="minorEastAsia"/>
          <w:color w:val="000000" w:themeColor="text1"/>
          <w:sz w:val="28"/>
          <w:szCs w:val="28"/>
        </w:rPr>
      </w:pPr>
      <w:r w:rsidRPr="00CC33DB">
        <w:rPr>
          <w:rFonts w:asciiTheme="minorEastAsia" w:hAnsiTheme="minorEastAsia" w:hint="eastAsia"/>
          <w:color w:val="000000" w:themeColor="text1"/>
          <w:sz w:val="28"/>
          <w:szCs w:val="28"/>
        </w:rPr>
        <w:t>特此公告。</w:t>
      </w:r>
    </w:p>
    <w:p w:rsidR="00CC33DB" w:rsidRPr="00CC33DB" w:rsidRDefault="00CC33DB" w:rsidP="00CC33DB">
      <w:pPr>
        <w:rPr>
          <w:rFonts w:asciiTheme="minorEastAsia" w:hAnsiTheme="minorEastAsia"/>
          <w:sz w:val="28"/>
          <w:szCs w:val="28"/>
        </w:rPr>
      </w:pPr>
    </w:p>
    <w:p w:rsidR="00CC33DB" w:rsidRPr="00CC33DB" w:rsidRDefault="00CC33DB" w:rsidP="00CC33DB">
      <w:pPr>
        <w:rPr>
          <w:rFonts w:asciiTheme="minorEastAsia" w:hAnsiTheme="minorEastAsia"/>
          <w:sz w:val="28"/>
          <w:szCs w:val="28"/>
        </w:rPr>
      </w:pPr>
    </w:p>
    <w:p w:rsidR="00CC33DB" w:rsidRDefault="00CC33DB" w:rsidP="00CC33DB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鹏华基金管理有限公司</w:t>
      </w:r>
    </w:p>
    <w:p w:rsidR="00CC33DB" w:rsidRPr="00CC33DB" w:rsidRDefault="008169F1" w:rsidP="00CC33DB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</w:t>
      </w:r>
      <w:r w:rsidR="00E84DCB">
        <w:rPr>
          <w:rFonts w:asciiTheme="minorEastAsia" w:hAnsiTheme="minorEastAsia"/>
          <w:sz w:val="28"/>
          <w:szCs w:val="28"/>
        </w:rPr>
        <w:t>20</w:t>
      </w:r>
      <w:r w:rsidR="00CC33DB">
        <w:rPr>
          <w:rFonts w:asciiTheme="minorEastAsia" w:hAnsiTheme="minorEastAsia"/>
          <w:sz w:val="28"/>
          <w:szCs w:val="28"/>
        </w:rPr>
        <w:t>年</w:t>
      </w:r>
      <w:r w:rsidR="00BF4DA2">
        <w:rPr>
          <w:rFonts w:asciiTheme="minorEastAsia" w:hAnsiTheme="minorEastAsia"/>
          <w:sz w:val="28"/>
          <w:szCs w:val="28"/>
        </w:rPr>
        <w:t>9</w:t>
      </w:r>
      <w:r w:rsidR="00CC33DB">
        <w:rPr>
          <w:rFonts w:asciiTheme="minorEastAsia" w:hAnsiTheme="minorEastAsia"/>
          <w:sz w:val="28"/>
          <w:szCs w:val="28"/>
        </w:rPr>
        <w:t>月</w:t>
      </w:r>
      <w:r w:rsidR="00BF4DA2">
        <w:rPr>
          <w:rFonts w:asciiTheme="minorEastAsia" w:hAnsiTheme="minorEastAsia"/>
          <w:sz w:val="28"/>
          <w:szCs w:val="28"/>
        </w:rPr>
        <w:t>1</w:t>
      </w:r>
      <w:r w:rsidR="000B705A">
        <w:rPr>
          <w:rFonts w:asciiTheme="minorEastAsia" w:hAnsiTheme="minorEastAsia"/>
          <w:sz w:val="28"/>
          <w:szCs w:val="28"/>
        </w:rPr>
        <w:t>9</w:t>
      </w:r>
      <w:r w:rsidR="00CC33DB">
        <w:rPr>
          <w:rFonts w:asciiTheme="minorEastAsia" w:hAnsiTheme="minorEastAsia"/>
          <w:sz w:val="28"/>
          <w:szCs w:val="28"/>
        </w:rPr>
        <w:t>日</w:t>
      </w:r>
    </w:p>
    <w:p w:rsidR="00CC33DB" w:rsidRPr="00CC33DB" w:rsidRDefault="00CC33DB" w:rsidP="00CC33DB">
      <w:pPr>
        <w:rPr>
          <w:rFonts w:asciiTheme="minorEastAsia" w:hAnsiTheme="minorEastAsia"/>
          <w:sz w:val="28"/>
          <w:szCs w:val="28"/>
        </w:rPr>
      </w:pPr>
    </w:p>
    <w:sectPr w:rsidR="00CC33DB" w:rsidRPr="00CC33DB" w:rsidSect="00560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2EA" w:rsidRDefault="00E632EA" w:rsidP="00A21E57">
      <w:r>
        <w:separator/>
      </w:r>
    </w:p>
  </w:endnote>
  <w:endnote w:type="continuationSeparator" w:id="0">
    <w:p w:rsidR="00E632EA" w:rsidRDefault="00E632EA" w:rsidP="00A21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2EA" w:rsidRDefault="00E632EA" w:rsidP="00A21E57">
      <w:r>
        <w:separator/>
      </w:r>
    </w:p>
  </w:footnote>
  <w:footnote w:type="continuationSeparator" w:id="0">
    <w:p w:rsidR="00E632EA" w:rsidRDefault="00E632EA" w:rsidP="00A21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6AB"/>
    <w:rsid w:val="00004D8E"/>
    <w:rsid w:val="00025C2F"/>
    <w:rsid w:val="0004797E"/>
    <w:rsid w:val="000926CE"/>
    <w:rsid w:val="000A2B25"/>
    <w:rsid w:val="000A7096"/>
    <w:rsid w:val="000B705A"/>
    <w:rsid w:val="00162A0D"/>
    <w:rsid w:val="001800D4"/>
    <w:rsid w:val="001856D9"/>
    <w:rsid w:val="001D2E84"/>
    <w:rsid w:val="001F51AA"/>
    <w:rsid w:val="0022721D"/>
    <w:rsid w:val="00227ACB"/>
    <w:rsid w:val="00254EB9"/>
    <w:rsid w:val="002B07EC"/>
    <w:rsid w:val="002F0EE6"/>
    <w:rsid w:val="00317312"/>
    <w:rsid w:val="003812FF"/>
    <w:rsid w:val="00393481"/>
    <w:rsid w:val="003D63B4"/>
    <w:rsid w:val="003D67C2"/>
    <w:rsid w:val="00432852"/>
    <w:rsid w:val="004F5BC5"/>
    <w:rsid w:val="004F6BAD"/>
    <w:rsid w:val="005607C9"/>
    <w:rsid w:val="0058014C"/>
    <w:rsid w:val="005958A4"/>
    <w:rsid w:val="005A3E14"/>
    <w:rsid w:val="005B5CB9"/>
    <w:rsid w:val="00622796"/>
    <w:rsid w:val="0063380B"/>
    <w:rsid w:val="00637CE0"/>
    <w:rsid w:val="00691CDA"/>
    <w:rsid w:val="0070787C"/>
    <w:rsid w:val="0073102C"/>
    <w:rsid w:val="007F5F8A"/>
    <w:rsid w:val="008169F1"/>
    <w:rsid w:val="00855581"/>
    <w:rsid w:val="00874955"/>
    <w:rsid w:val="00892A5C"/>
    <w:rsid w:val="008D00F0"/>
    <w:rsid w:val="008F00F3"/>
    <w:rsid w:val="0092094A"/>
    <w:rsid w:val="0092685F"/>
    <w:rsid w:val="00926AB8"/>
    <w:rsid w:val="0093457A"/>
    <w:rsid w:val="009514BD"/>
    <w:rsid w:val="0098777F"/>
    <w:rsid w:val="009908A3"/>
    <w:rsid w:val="009951B7"/>
    <w:rsid w:val="009B22F2"/>
    <w:rsid w:val="009C6DAA"/>
    <w:rsid w:val="009D19B0"/>
    <w:rsid w:val="009D7AF9"/>
    <w:rsid w:val="009D7F9F"/>
    <w:rsid w:val="009E1440"/>
    <w:rsid w:val="00A21E57"/>
    <w:rsid w:val="00A53E8E"/>
    <w:rsid w:val="00A542A2"/>
    <w:rsid w:val="00A7382F"/>
    <w:rsid w:val="00A83ECB"/>
    <w:rsid w:val="00AE2DFE"/>
    <w:rsid w:val="00B1507D"/>
    <w:rsid w:val="00B219C8"/>
    <w:rsid w:val="00B41D65"/>
    <w:rsid w:val="00B52157"/>
    <w:rsid w:val="00BB3107"/>
    <w:rsid w:val="00BF3E9A"/>
    <w:rsid w:val="00BF4DA2"/>
    <w:rsid w:val="00C316AB"/>
    <w:rsid w:val="00C472D5"/>
    <w:rsid w:val="00C65C80"/>
    <w:rsid w:val="00C8063B"/>
    <w:rsid w:val="00CC33DB"/>
    <w:rsid w:val="00CC4988"/>
    <w:rsid w:val="00CD1B27"/>
    <w:rsid w:val="00CE1FCA"/>
    <w:rsid w:val="00D5334D"/>
    <w:rsid w:val="00D702DC"/>
    <w:rsid w:val="00DE017E"/>
    <w:rsid w:val="00E632EA"/>
    <w:rsid w:val="00E67B4F"/>
    <w:rsid w:val="00E84DCB"/>
    <w:rsid w:val="00EC0B60"/>
    <w:rsid w:val="00F0772A"/>
    <w:rsid w:val="00F400C2"/>
    <w:rsid w:val="00F57305"/>
    <w:rsid w:val="00F8413B"/>
    <w:rsid w:val="00F847E0"/>
    <w:rsid w:val="00FA1571"/>
    <w:rsid w:val="00FD5AB8"/>
    <w:rsid w:val="00FE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E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E57"/>
    <w:rPr>
      <w:sz w:val="18"/>
      <w:szCs w:val="18"/>
    </w:rPr>
  </w:style>
  <w:style w:type="paragraph" w:styleId="a5">
    <w:name w:val="Normal (Web)"/>
    <w:basedOn w:val="a"/>
    <w:uiPriority w:val="99"/>
    <w:unhideWhenUsed/>
    <w:rsid w:val="00A21E5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95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E5E5E5"/>
                        <w:left w:val="single" w:sz="6" w:space="31" w:color="E5E5E5"/>
                        <w:bottom w:val="single" w:sz="6" w:space="31" w:color="E5E5E5"/>
                        <w:right w:val="single" w:sz="6" w:space="31" w:color="E5E5E5"/>
                      </w:divBdr>
                      <w:divsChild>
                        <w:div w:id="359287519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dashed" w:sz="6" w:space="2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4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ZHONGM</cp:lastModifiedBy>
  <cp:revision>2</cp:revision>
  <cp:lastPrinted>2016-09-28T05:15:00Z</cp:lastPrinted>
  <dcterms:created xsi:type="dcterms:W3CDTF">2020-09-18T16:02:00Z</dcterms:created>
  <dcterms:modified xsi:type="dcterms:W3CDTF">2020-09-18T16:02:00Z</dcterms:modified>
</cp:coreProperties>
</file>