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28" w:rsidRDefault="009264B9" w:rsidP="00642A90">
      <w:pPr>
        <w:spacing w:beforeLines="30" w:afterLines="30"/>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中金基金管理有限公司关于旗下基金投资关联方承销期内</w:t>
      </w:r>
    </w:p>
    <w:p w:rsidR="006E5E28" w:rsidRDefault="009264B9" w:rsidP="00642A90">
      <w:pPr>
        <w:spacing w:beforeLines="30" w:afterLines="30"/>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承销证券的公告</w:t>
      </w:r>
    </w:p>
    <w:p w:rsidR="006E5E28" w:rsidRDefault="009264B9" w:rsidP="00642A90">
      <w:pPr>
        <w:spacing w:beforeLines="50" w:afterLines="5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根据《中华人民共和国证券投资基金法》《公开募集证券投资基金运作管理办法》</w:t>
      </w:r>
      <w:r>
        <w:rPr>
          <w:rFonts w:ascii="Times New Roman" w:eastAsia="楷体_GB2312" w:hAnsi="Times New Roman" w:cs="Times New Roman" w:hint="eastAsia"/>
          <w:sz w:val="24"/>
          <w:szCs w:val="24"/>
        </w:rPr>
        <w:t>《公开募集证券投资基金信息披露管理办法》及相关基金</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招募说明书等有关规定，经履行适当审批程序</w:t>
      </w:r>
      <w:r>
        <w:rPr>
          <w:rFonts w:ascii="Times New Roman" w:eastAsia="楷体_GB2312" w:hAnsi="Times New Roman" w:cs="Times New Roman" w:hint="eastAsia"/>
          <w:sz w:val="24"/>
          <w:szCs w:val="24"/>
        </w:rPr>
        <w:t>，中金</w:t>
      </w:r>
      <w:r>
        <w:rPr>
          <w:rFonts w:ascii="Times New Roman" w:eastAsia="楷体_GB2312" w:hAnsi="Times New Roman" w:cs="Times New Roman"/>
          <w:sz w:val="24"/>
          <w:szCs w:val="24"/>
        </w:rPr>
        <w:t>基金管理有限公司</w:t>
      </w:r>
      <w:r>
        <w:rPr>
          <w:rFonts w:ascii="Times New Roman" w:eastAsia="楷体_GB2312" w:hAnsi="Times New Roman" w:cs="Times New Roman" w:hint="eastAsia"/>
          <w:sz w:val="24"/>
          <w:szCs w:val="24"/>
        </w:rPr>
        <w:t>（“本公司”）旗下部分基金</w:t>
      </w:r>
      <w:r>
        <w:rPr>
          <w:rFonts w:ascii="Times New Roman" w:eastAsia="楷体_GB2312" w:hAnsi="Times New Roman" w:cs="Times New Roman"/>
          <w:sz w:val="24"/>
          <w:szCs w:val="24"/>
        </w:rPr>
        <w:t>参与了</w:t>
      </w:r>
      <w:r>
        <w:rPr>
          <w:rFonts w:ascii="Times New Roman" w:eastAsia="楷体_GB2312" w:hAnsi="Times New Roman" w:cs="Times New Roman" w:hint="eastAsia"/>
          <w:sz w:val="24"/>
          <w:szCs w:val="24"/>
        </w:rPr>
        <w:t>广州若羽臣科技股份有限公司</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“若羽臣”</w:t>
      </w:r>
      <w:r>
        <w:rPr>
          <w:rFonts w:ascii="Times New Roman" w:eastAsia="楷体_GB2312" w:hAnsi="Times New Roman" w:cs="Times New Roman"/>
          <w:sz w:val="24"/>
          <w:szCs w:val="24"/>
        </w:rPr>
        <w:t>）首次公开发行股票（</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）的网下申购，本公司股东中国国际金融股份有限公司为本次发行的主承销商。本次发行价格为</w:t>
      </w:r>
      <w:r>
        <w:rPr>
          <w:rFonts w:ascii="Times New Roman" w:eastAsia="楷体_GB2312" w:hAnsi="Times New Roman" w:cs="Times New Roman" w:hint="eastAsia"/>
          <w:sz w:val="24"/>
          <w:szCs w:val="24"/>
        </w:rPr>
        <w:t>15.20</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股</w:t>
      </w:r>
      <w:r>
        <w:rPr>
          <w:rFonts w:ascii="Times New Roman" w:eastAsia="楷体_GB2312" w:hAnsi="Times New Roman" w:cs="Times New Roman"/>
          <w:sz w:val="24"/>
          <w:szCs w:val="24"/>
        </w:rPr>
        <w:t>，由发行人和主承销商</w:t>
      </w:r>
      <w:r>
        <w:rPr>
          <w:rFonts w:ascii="Times New Roman" w:eastAsia="楷体_GB2312" w:hAnsi="Times New Roman" w:cs="Times New Roman" w:hint="eastAsia"/>
          <w:sz w:val="24"/>
          <w:szCs w:val="24"/>
        </w:rPr>
        <w:t>根据初步询价结果，综合考虑发行人基本面、所处行业、可比上市公司估值水平、市场情况、募集资金需求、承销风险等因素</w:t>
      </w:r>
      <w:r>
        <w:rPr>
          <w:rFonts w:ascii="Times New Roman" w:eastAsia="楷体_GB2312" w:hAnsi="Times New Roman" w:cs="Times New Roman"/>
          <w:sz w:val="24"/>
          <w:szCs w:val="24"/>
        </w:rPr>
        <w:t>后协商确定。</w:t>
      </w:r>
      <w:bookmarkStart w:id="0" w:name="_GoBack"/>
      <w:bookmarkEnd w:id="0"/>
    </w:p>
    <w:p w:rsidR="006E5E28" w:rsidRDefault="009264B9" w:rsidP="00642A90">
      <w:pPr>
        <w:spacing w:beforeLines="50" w:afterLines="5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根据法律法规</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及若羽臣于</w:t>
      </w:r>
      <w:r>
        <w:rPr>
          <w:rFonts w:ascii="Times New Roman" w:eastAsia="楷体_GB2312" w:hAnsi="Times New Roman" w:cs="Times New Roman" w:hint="eastAsia"/>
          <w:sz w:val="24"/>
          <w:szCs w:val="24"/>
        </w:rPr>
        <w:t>2020</w:t>
      </w:r>
      <w:r>
        <w:rPr>
          <w:rFonts w:ascii="Times New Roman" w:eastAsia="楷体_GB2312" w:hAnsi="Times New Roman" w:cs="Times New Roman" w:hint="eastAsia"/>
          <w:sz w:val="24"/>
          <w:szCs w:val="24"/>
        </w:rPr>
        <w:t>年</w:t>
      </w:r>
      <w:r>
        <w:rPr>
          <w:rFonts w:ascii="Times New Roman" w:eastAsia="楷体_GB2312" w:hAnsi="Times New Roman" w:cs="Times New Roman"/>
          <w:sz w:val="24"/>
          <w:szCs w:val="24"/>
        </w:rPr>
        <w:t>9</w:t>
      </w:r>
      <w:r>
        <w:rPr>
          <w:rFonts w:ascii="Times New Roman" w:eastAsia="楷体_GB2312" w:hAnsi="Times New Roman" w:cs="Times New Roman" w:hint="eastAsia"/>
          <w:sz w:val="24"/>
          <w:szCs w:val="24"/>
        </w:rPr>
        <w:t>月</w:t>
      </w:r>
      <w:r>
        <w:rPr>
          <w:rFonts w:ascii="Times New Roman" w:eastAsia="楷体_GB2312" w:hAnsi="Times New Roman" w:cs="Times New Roman"/>
          <w:sz w:val="24"/>
          <w:szCs w:val="24"/>
        </w:rPr>
        <w:t>18</w:t>
      </w:r>
      <w:r>
        <w:rPr>
          <w:rFonts w:ascii="Times New Roman" w:eastAsia="楷体_GB2312" w:hAnsi="Times New Roman" w:cs="Times New Roman" w:hint="eastAsia"/>
          <w:sz w:val="24"/>
          <w:szCs w:val="24"/>
        </w:rPr>
        <w:t>日</w:t>
      </w:r>
      <w:r>
        <w:rPr>
          <w:rFonts w:ascii="Times New Roman" w:eastAsia="楷体_GB2312" w:hAnsi="Times New Roman" w:cs="Times New Roman"/>
          <w:sz w:val="24"/>
          <w:szCs w:val="24"/>
        </w:rPr>
        <w:t>发布的《</w:t>
      </w:r>
      <w:r>
        <w:rPr>
          <w:rFonts w:ascii="Times New Roman" w:eastAsia="楷体_GB2312" w:hAnsi="Times New Roman" w:cs="Times New Roman" w:hint="eastAsia"/>
          <w:sz w:val="24"/>
          <w:szCs w:val="24"/>
        </w:rPr>
        <w:t>广州若羽臣科技股份有限公司首次公开发行股票网下初步配售结果公告</w:t>
      </w:r>
      <w:r>
        <w:rPr>
          <w:rFonts w:ascii="Times New Roman" w:eastAsia="楷体_GB2312" w:hAnsi="Times New Roman" w:cs="Times New Roman"/>
          <w:sz w:val="24"/>
          <w:szCs w:val="24"/>
        </w:rPr>
        <w:t>》，现将</w:t>
      </w:r>
      <w:r>
        <w:rPr>
          <w:rFonts w:ascii="Times New Roman" w:eastAsia="楷体_GB2312" w:hAnsi="Times New Roman" w:cs="Times New Roman" w:hint="eastAsia"/>
          <w:sz w:val="24"/>
          <w:szCs w:val="24"/>
        </w:rPr>
        <w:t>本公司旗下基金</w:t>
      </w:r>
      <w:r>
        <w:rPr>
          <w:rFonts w:ascii="Times New Roman" w:eastAsia="楷体_GB2312" w:hAnsi="Times New Roman" w:cs="Times New Roman"/>
          <w:sz w:val="24"/>
          <w:szCs w:val="24"/>
        </w:rPr>
        <w:t>获配信息公告如下：</w:t>
      </w:r>
    </w:p>
    <w:tbl>
      <w:tblPr>
        <w:tblStyle w:val="a9"/>
        <w:tblW w:w="4998" w:type="pct"/>
        <w:jc w:val="center"/>
        <w:tblLayout w:type="fixed"/>
        <w:tblLook w:val="04A0"/>
      </w:tblPr>
      <w:tblGrid>
        <w:gridCol w:w="6165"/>
        <w:gridCol w:w="856"/>
        <w:gridCol w:w="1498"/>
      </w:tblGrid>
      <w:tr w:rsidR="006E5E28">
        <w:trPr>
          <w:jc w:val="center"/>
        </w:trPr>
        <w:tc>
          <w:tcPr>
            <w:tcW w:w="3617" w:type="pct"/>
            <w:shd w:val="clear" w:color="auto" w:fill="D9D9D9" w:themeFill="background1" w:themeFillShade="D9"/>
            <w:vAlign w:val="center"/>
          </w:tcPr>
          <w:p w:rsidR="006E5E28" w:rsidRDefault="009264B9">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基金名称</w:t>
            </w:r>
          </w:p>
        </w:tc>
        <w:tc>
          <w:tcPr>
            <w:tcW w:w="502" w:type="pct"/>
            <w:shd w:val="clear" w:color="auto" w:fill="D9D9D9" w:themeFill="background1" w:themeFillShade="D9"/>
            <w:vAlign w:val="center"/>
          </w:tcPr>
          <w:p w:rsidR="006E5E28" w:rsidRDefault="009264B9">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获配数量（股）</w:t>
            </w:r>
          </w:p>
        </w:tc>
        <w:tc>
          <w:tcPr>
            <w:tcW w:w="879" w:type="pct"/>
            <w:shd w:val="clear" w:color="auto" w:fill="D9D9D9" w:themeFill="background1" w:themeFillShade="D9"/>
            <w:vAlign w:val="center"/>
          </w:tcPr>
          <w:p w:rsidR="006E5E28" w:rsidRDefault="009264B9" w:rsidP="009264B9">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获配金额（元）</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中金消费升级股票型证券投资基金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中金绝对收益策略定期开放混合型发起式证券投资基金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492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7</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478.4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中金量化多策略灵活配置混合型证券投资基金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中金沪深</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指数增强型发起式证券投资基金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指数增强型发起式证券投资基金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中金金泽量化精选混合型发起式证券投资基金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中金丰硕混合型证券投资基金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中金金序量化蓝筹混合型证券投资基金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中金中证优选</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指数证券投资基金</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LOF</w:t>
            </w:r>
            <w:r>
              <w:rPr>
                <w:rFonts w:ascii="Times New Roman" w:eastAsia="楷体_GB2312" w:hAnsi="Times New Roman" w:cs="Times New Roman"/>
                <w:sz w:val="24"/>
                <w:szCs w:val="24"/>
              </w:rPr>
              <w:t>）</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中金新医药股票型证券投资基金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trHeight w:val="427"/>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w:t>
            </w:r>
            <w:r>
              <w:rPr>
                <w:rFonts w:ascii="Times New Roman" w:eastAsia="楷体_GB2312" w:hAnsi="Times New Roman" w:cs="Times New Roman" w:hint="eastAsia"/>
                <w:sz w:val="24"/>
                <w:szCs w:val="24"/>
              </w:rPr>
              <w:t>MSCI</w:t>
            </w:r>
            <w:r>
              <w:rPr>
                <w:rFonts w:ascii="Times New Roman" w:eastAsia="楷体_GB2312" w:hAnsi="Times New Roman" w:cs="Times New Roman" w:hint="eastAsia"/>
                <w:sz w:val="24"/>
                <w:szCs w:val="24"/>
              </w:rPr>
              <w:t>中国</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股国际质量指数发起式证券投资基金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trHeight w:val="123"/>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中金瑞和灵活配置混合型证券投资基金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trHeight w:val="123"/>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中金科创主题</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年封闭运作灵活配置混合型证券投资基金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trHeight w:val="123"/>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中金瑞祥灵活配置混合型证券投资基金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r w:rsidR="006E5E28">
        <w:trPr>
          <w:trHeight w:val="123"/>
          <w:jc w:val="center"/>
        </w:trPr>
        <w:tc>
          <w:tcPr>
            <w:tcW w:w="3617" w:type="pct"/>
            <w:vAlign w:val="center"/>
          </w:tcPr>
          <w:p w:rsidR="006E5E28" w:rsidRDefault="009264B9">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中金中证沪港深优选消费</w:t>
            </w:r>
            <w:r>
              <w:rPr>
                <w:rFonts w:ascii="Times New Roman" w:eastAsia="楷体_GB2312" w:hAnsi="Times New Roman" w:cs="Times New Roman" w:hint="eastAsia"/>
                <w:sz w:val="24"/>
                <w:szCs w:val="24"/>
              </w:rPr>
              <w:t>50</w:t>
            </w:r>
            <w:r>
              <w:rPr>
                <w:rFonts w:ascii="Times New Roman" w:eastAsia="楷体_GB2312" w:hAnsi="Times New Roman" w:cs="Times New Roman" w:hint="eastAsia"/>
                <w:sz w:val="24"/>
                <w:szCs w:val="24"/>
              </w:rPr>
              <w:t>指数证券投资基金</w:t>
            </w:r>
          </w:p>
        </w:tc>
        <w:tc>
          <w:tcPr>
            <w:tcW w:w="502" w:type="pct"/>
            <w:vAlign w:val="center"/>
          </w:tcPr>
          <w:p w:rsidR="006E5E28" w:rsidRDefault="009264B9">
            <w:pPr>
              <w:jc w:val="center"/>
              <w:rPr>
                <w:rFonts w:ascii="Times New Roman" w:hAnsi="Times New Roman" w:cs="Times New Roman"/>
                <w:sz w:val="24"/>
                <w:szCs w:val="24"/>
              </w:rPr>
            </w:pPr>
            <w:r>
              <w:rPr>
                <w:rFonts w:ascii="Times New Roman" w:hAnsi="Times New Roman" w:cs="Times New Roman" w:hint="eastAsia"/>
                <w:sz w:val="24"/>
                <w:szCs w:val="24"/>
              </w:rPr>
              <w:t>562</w:t>
            </w:r>
          </w:p>
        </w:tc>
        <w:tc>
          <w:tcPr>
            <w:tcW w:w="879" w:type="pct"/>
            <w:vAlign w:val="center"/>
          </w:tcPr>
          <w:p w:rsidR="006E5E28" w:rsidRDefault="009264B9">
            <w:pPr>
              <w:jc w:val="center"/>
              <w:rPr>
                <w:rFonts w:ascii="Times New Roman" w:eastAsia="楷体" w:hAnsi="Times New Roman" w:cs="Times New Roman"/>
                <w:color w:val="000000"/>
                <w:sz w:val="24"/>
                <w:szCs w:val="24"/>
              </w:rPr>
            </w:pPr>
            <w:r>
              <w:rPr>
                <w:rFonts w:ascii="Times New Roman" w:eastAsia="楷体" w:hAnsi="Times New Roman" w:cs="Times New Roman" w:hint="eastAsia"/>
                <w:color w:val="000000"/>
                <w:sz w:val="24"/>
                <w:szCs w:val="24"/>
              </w:rPr>
              <w:t>8</w:t>
            </w:r>
            <w:r>
              <w:rPr>
                <w:rFonts w:ascii="Times New Roman" w:eastAsia="楷体" w:hAnsi="Times New Roman" w:cs="Times New Roman"/>
                <w:color w:val="000000"/>
                <w:sz w:val="24"/>
                <w:szCs w:val="24"/>
              </w:rPr>
              <w:t>,</w:t>
            </w:r>
            <w:r>
              <w:rPr>
                <w:rFonts w:ascii="Times New Roman" w:eastAsia="楷体" w:hAnsi="Times New Roman" w:cs="Times New Roman" w:hint="eastAsia"/>
                <w:color w:val="000000"/>
                <w:sz w:val="24"/>
                <w:szCs w:val="24"/>
              </w:rPr>
              <w:t>542.4</w:t>
            </w:r>
            <w:r>
              <w:rPr>
                <w:rFonts w:ascii="Times New Roman" w:eastAsia="楷体" w:hAnsi="Times New Roman" w:cs="Times New Roman"/>
                <w:color w:val="000000"/>
                <w:sz w:val="24"/>
                <w:szCs w:val="24"/>
              </w:rPr>
              <w:t>0</w:t>
            </w:r>
          </w:p>
        </w:tc>
      </w:tr>
    </w:tbl>
    <w:p w:rsidR="006E5E28" w:rsidRDefault="009264B9" w:rsidP="00642A90">
      <w:pPr>
        <w:autoSpaceDE w:val="0"/>
        <w:autoSpaceDN w:val="0"/>
        <w:adjustRightInd w:val="0"/>
        <w:spacing w:beforeLines="50" w:afterLines="50"/>
        <w:ind w:firstLine="420"/>
        <w:jc w:val="left"/>
        <w:rPr>
          <w:rFonts w:ascii="Times New Roman" w:eastAsia="楷体_GB2312" w:hAnsi="Times New Roman" w:cs="Times New Roman"/>
          <w:kern w:val="0"/>
          <w:sz w:val="24"/>
          <w:szCs w:val="24"/>
        </w:rPr>
      </w:pPr>
      <w:r>
        <w:rPr>
          <w:rFonts w:ascii="Times New Roman" w:eastAsia="楷体_GB2312" w:hAnsi="Times New Roman" w:cs="Times New Roman"/>
          <w:kern w:val="0"/>
          <w:szCs w:val="24"/>
        </w:rPr>
        <w:t>注：</w:t>
      </w:r>
      <w:r>
        <w:rPr>
          <w:rFonts w:ascii="Times New Roman" w:eastAsia="楷体_GB2312" w:hAnsi="Times New Roman" w:cs="Times New Roman" w:hint="eastAsia"/>
          <w:kern w:val="0"/>
          <w:szCs w:val="24"/>
        </w:rPr>
        <w:t>本次网下发行不向网下投资者收取佣金、过户费和印花税等费用。</w:t>
      </w:r>
    </w:p>
    <w:p w:rsidR="006E5E28" w:rsidRDefault="009264B9" w:rsidP="00642A90">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特此公告</w:t>
      </w:r>
    </w:p>
    <w:p w:rsidR="006E5E28" w:rsidRDefault="009264B9" w:rsidP="00642A90">
      <w:pPr>
        <w:autoSpaceDE w:val="0"/>
        <w:autoSpaceDN w:val="0"/>
        <w:adjustRightInd w:val="0"/>
        <w:spacing w:beforeLines="50" w:afterLines="50"/>
        <w:ind w:firstLineChars="200" w:firstLine="480"/>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中金基金管理有限公司</w:t>
      </w:r>
    </w:p>
    <w:p w:rsidR="006E5E28" w:rsidRDefault="009264B9" w:rsidP="00AB6897">
      <w:pPr>
        <w:spacing w:beforeLines="50" w:afterLines="50"/>
        <w:jc w:val="right"/>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Pr>
          <w:rFonts w:ascii="Times New Roman" w:eastAsia="楷体_GB2312" w:hAnsi="Times New Roman" w:cs="Times New Roman"/>
          <w:kern w:val="0"/>
          <w:sz w:val="24"/>
          <w:szCs w:val="24"/>
        </w:rPr>
        <w:t>9</w:t>
      </w:r>
      <w:r>
        <w:rPr>
          <w:rFonts w:ascii="Times New Roman" w:eastAsia="楷体_GB2312" w:hAnsi="Times New Roman" w:cs="Times New Roman"/>
          <w:kern w:val="0"/>
          <w:sz w:val="24"/>
          <w:szCs w:val="24"/>
        </w:rPr>
        <w:t>月</w:t>
      </w:r>
      <w:r>
        <w:rPr>
          <w:rFonts w:ascii="Times New Roman" w:eastAsia="楷体_GB2312" w:hAnsi="Times New Roman" w:cs="Times New Roman"/>
          <w:kern w:val="0"/>
          <w:sz w:val="24"/>
          <w:szCs w:val="24"/>
        </w:rPr>
        <w:t>19</w:t>
      </w:r>
      <w:r>
        <w:rPr>
          <w:rFonts w:ascii="Times New Roman" w:eastAsia="楷体_GB2312" w:hAnsi="Times New Roman" w:cs="Times New Roman"/>
          <w:kern w:val="0"/>
          <w:sz w:val="24"/>
          <w:szCs w:val="24"/>
        </w:rPr>
        <w:t>日</w:t>
      </w:r>
    </w:p>
    <w:sectPr w:rsidR="006E5E28" w:rsidSect="00AB6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90" w:rsidRDefault="00642A90" w:rsidP="00642A90">
      <w:r>
        <w:separator/>
      </w:r>
    </w:p>
  </w:endnote>
  <w:endnote w:type="continuationSeparator" w:id="0">
    <w:p w:rsidR="00642A90" w:rsidRDefault="00642A90" w:rsidP="00642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90" w:rsidRDefault="00642A90" w:rsidP="00642A90">
      <w:r>
        <w:separator/>
      </w:r>
    </w:p>
  </w:footnote>
  <w:footnote w:type="continuationSeparator" w:id="0">
    <w:p w:rsidR="00642A90" w:rsidRDefault="00642A90" w:rsidP="00642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5DD4C03"/>
    <w:rsid w:val="DFB755DE"/>
    <w:rsid w:val="ED6BC8CE"/>
    <w:rsid w:val="F3DF6333"/>
    <w:rsid w:val="F7FF1200"/>
    <w:rsid w:val="FFFDF546"/>
    <w:rsid w:val="00002C5D"/>
    <w:rsid w:val="000476E7"/>
    <w:rsid w:val="00052929"/>
    <w:rsid w:val="00097A2E"/>
    <w:rsid w:val="00156FEE"/>
    <w:rsid w:val="00163C7B"/>
    <w:rsid w:val="001643C7"/>
    <w:rsid w:val="00164CA7"/>
    <w:rsid w:val="001729E7"/>
    <w:rsid w:val="00172A27"/>
    <w:rsid w:val="001E01E1"/>
    <w:rsid w:val="00211571"/>
    <w:rsid w:val="002E4436"/>
    <w:rsid w:val="002E57C9"/>
    <w:rsid w:val="00336A2F"/>
    <w:rsid w:val="00351B6D"/>
    <w:rsid w:val="0037307F"/>
    <w:rsid w:val="003730B8"/>
    <w:rsid w:val="00383D43"/>
    <w:rsid w:val="00387283"/>
    <w:rsid w:val="003B0326"/>
    <w:rsid w:val="003C49CF"/>
    <w:rsid w:val="003D07E5"/>
    <w:rsid w:val="003E2578"/>
    <w:rsid w:val="003E25DA"/>
    <w:rsid w:val="004343C7"/>
    <w:rsid w:val="00437BCF"/>
    <w:rsid w:val="00454743"/>
    <w:rsid w:val="00495039"/>
    <w:rsid w:val="004B4629"/>
    <w:rsid w:val="0052668A"/>
    <w:rsid w:val="00580073"/>
    <w:rsid w:val="00642A90"/>
    <w:rsid w:val="006A36E9"/>
    <w:rsid w:val="006E5E28"/>
    <w:rsid w:val="006F0B07"/>
    <w:rsid w:val="00722DD4"/>
    <w:rsid w:val="007D083F"/>
    <w:rsid w:val="007F1F31"/>
    <w:rsid w:val="008320EA"/>
    <w:rsid w:val="00851B64"/>
    <w:rsid w:val="009264B9"/>
    <w:rsid w:val="0097486C"/>
    <w:rsid w:val="009D070A"/>
    <w:rsid w:val="009F73EF"/>
    <w:rsid w:val="00A331EB"/>
    <w:rsid w:val="00A6528A"/>
    <w:rsid w:val="00A87330"/>
    <w:rsid w:val="00AB6897"/>
    <w:rsid w:val="00AC6C51"/>
    <w:rsid w:val="00B50C25"/>
    <w:rsid w:val="00B91A14"/>
    <w:rsid w:val="00B96288"/>
    <w:rsid w:val="00BB5965"/>
    <w:rsid w:val="00BB6854"/>
    <w:rsid w:val="00C10FD9"/>
    <w:rsid w:val="00C47181"/>
    <w:rsid w:val="00CA4101"/>
    <w:rsid w:val="00CB753C"/>
    <w:rsid w:val="00CD0251"/>
    <w:rsid w:val="00D26D4A"/>
    <w:rsid w:val="00D61AF3"/>
    <w:rsid w:val="00DC3E7B"/>
    <w:rsid w:val="00E11869"/>
    <w:rsid w:val="00EF1EDA"/>
    <w:rsid w:val="00F72146"/>
    <w:rsid w:val="00F9044B"/>
    <w:rsid w:val="00FF635E"/>
    <w:rsid w:val="0B7F0D7B"/>
    <w:rsid w:val="739F6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B6897"/>
    <w:rPr>
      <w:b/>
      <w:bCs/>
    </w:rPr>
  </w:style>
  <w:style w:type="paragraph" w:styleId="a4">
    <w:name w:val="annotation text"/>
    <w:basedOn w:val="a"/>
    <w:link w:val="Char0"/>
    <w:uiPriority w:val="99"/>
    <w:unhideWhenUsed/>
    <w:qFormat/>
    <w:rsid w:val="00AB6897"/>
    <w:pPr>
      <w:jc w:val="left"/>
    </w:pPr>
  </w:style>
  <w:style w:type="paragraph" w:styleId="a5">
    <w:name w:val="Balloon Text"/>
    <w:basedOn w:val="a"/>
    <w:link w:val="Char1"/>
    <w:uiPriority w:val="99"/>
    <w:unhideWhenUsed/>
    <w:qFormat/>
    <w:rsid w:val="00AB6897"/>
    <w:rPr>
      <w:sz w:val="18"/>
      <w:szCs w:val="18"/>
    </w:rPr>
  </w:style>
  <w:style w:type="paragraph" w:styleId="a6">
    <w:name w:val="footer"/>
    <w:basedOn w:val="a"/>
    <w:link w:val="Char2"/>
    <w:uiPriority w:val="99"/>
    <w:unhideWhenUsed/>
    <w:qFormat/>
    <w:rsid w:val="00AB689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B6897"/>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AB6897"/>
    <w:rPr>
      <w:sz w:val="21"/>
      <w:szCs w:val="21"/>
    </w:rPr>
  </w:style>
  <w:style w:type="table" w:styleId="a9">
    <w:name w:val="Table Grid"/>
    <w:basedOn w:val="a1"/>
    <w:uiPriority w:val="59"/>
    <w:qFormat/>
    <w:rsid w:val="00AB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AB6897"/>
    <w:rPr>
      <w:sz w:val="18"/>
      <w:szCs w:val="18"/>
    </w:rPr>
  </w:style>
  <w:style w:type="character" w:customStyle="1" w:styleId="Char3">
    <w:name w:val="页眉 Char"/>
    <w:basedOn w:val="a0"/>
    <w:link w:val="a7"/>
    <w:uiPriority w:val="99"/>
    <w:qFormat/>
    <w:rsid w:val="00AB6897"/>
    <w:rPr>
      <w:sz w:val="18"/>
      <w:szCs w:val="18"/>
    </w:rPr>
  </w:style>
  <w:style w:type="character" w:customStyle="1" w:styleId="Char2">
    <w:name w:val="页脚 Char"/>
    <w:basedOn w:val="a0"/>
    <w:link w:val="a6"/>
    <w:uiPriority w:val="99"/>
    <w:qFormat/>
    <w:rsid w:val="00AB6897"/>
    <w:rPr>
      <w:sz w:val="18"/>
      <w:szCs w:val="18"/>
    </w:rPr>
  </w:style>
  <w:style w:type="character" w:customStyle="1" w:styleId="Char0">
    <w:name w:val="批注文字 Char"/>
    <w:basedOn w:val="a0"/>
    <w:link w:val="a4"/>
    <w:uiPriority w:val="99"/>
    <w:semiHidden/>
    <w:qFormat/>
    <w:rsid w:val="00AB6897"/>
  </w:style>
  <w:style w:type="character" w:customStyle="1" w:styleId="Char">
    <w:name w:val="批注主题 Char"/>
    <w:basedOn w:val="Char0"/>
    <w:link w:val="a3"/>
    <w:uiPriority w:val="99"/>
    <w:semiHidden/>
    <w:qFormat/>
    <w:rsid w:val="00AB68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4</DocSecurity>
  <Lines>6</Lines>
  <Paragraphs>1</Paragraphs>
  <ScaleCrop>false</ScaleCrop>
  <Company>HP Inc.</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2020-01-11T01:55:00Z</cp:lastPrinted>
  <dcterms:created xsi:type="dcterms:W3CDTF">2020-09-18T16:02:00Z</dcterms:created>
  <dcterms:modified xsi:type="dcterms:W3CDTF">2020-09-18T16:02:00Z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