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8A" w:rsidRDefault="00D9189E">
      <w:pPr>
        <w:spacing w:line="360" w:lineRule="auto"/>
        <w:jc w:val="center"/>
        <w:rPr>
          <w:rFonts w:ascii="彩虹粗仿宋" w:eastAsia="彩虹粗仿宋" w:hint="eastAsia"/>
          <w:b/>
          <w:sz w:val="36"/>
          <w:szCs w:val="36"/>
        </w:rPr>
      </w:pPr>
      <w:r w:rsidRPr="00D9189E">
        <w:rPr>
          <w:rFonts w:ascii="彩虹粗仿宋" w:eastAsia="彩虹粗仿宋" w:hint="eastAsia"/>
          <w:b/>
          <w:sz w:val="36"/>
          <w:szCs w:val="36"/>
        </w:rPr>
        <w:t>建信基金管理有限责任公司关于增加民商基金销售（上海）有限公司为旗下销售机构并参加认购申购费率优惠活动的公告</w:t>
      </w:r>
    </w:p>
    <w:p w:rsidR="0064698A" w:rsidRDefault="0064698A">
      <w:pPr>
        <w:spacing w:line="360" w:lineRule="auto"/>
        <w:ind w:firstLineChars="200" w:firstLine="560"/>
        <w:jc w:val="left"/>
        <w:rPr>
          <w:rFonts w:ascii="彩虹粗仿宋" w:eastAsia="彩虹粗仿宋" w:hint="eastAsia"/>
          <w:sz w:val="28"/>
          <w:szCs w:val="28"/>
        </w:rPr>
      </w:pPr>
      <w:r>
        <w:rPr>
          <w:rFonts w:ascii="彩虹粗仿宋" w:eastAsia="彩虹粗仿宋" w:hint="eastAsia"/>
          <w:sz w:val="28"/>
          <w:szCs w:val="28"/>
        </w:rPr>
        <w:t>根据建信基金管理有限责任公司（以下简称“本公司”）与</w:t>
      </w:r>
      <w:r w:rsidR="00D9189E" w:rsidRPr="00D9189E">
        <w:rPr>
          <w:rFonts w:ascii="彩虹粗仿宋" w:eastAsia="彩虹粗仿宋" w:hint="eastAsia"/>
          <w:sz w:val="28"/>
          <w:szCs w:val="28"/>
        </w:rPr>
        <w:t>民商基金销售（上海）有限公司</w:t>
      </w:r>
      <w:r>
        <w:rPr>
          <w:rFonts w:ascii="彩虹粗仿宋" w:eastAsia="彩虹粗仿宋" w:hint="eastAsia"/>
          <w:sz w:val="28"/>
          <w:szCs w:val="28"/>
        </w:rPr>
        <w:t>（以下简称“</w:t>
      </w:r>
      <w:r w:rsidR="00D9189E" w:rsidRPr="00D9189E">
        <w:rPr>
          <w:rFonts w:ascii="彩虹粗仿宋" w:eastAsia="彩虹粗仿宋" w:hint="eastAsia"/>
          <w:sz w:val="28"/>
          <w:szCs w:val="28"/>
        </w:rPr>
        <w:t>民商基金</w:t>
      </w:r>
      <w:r>
        <w:rPr>
          <w:rFonts w:ascii="彩虹粗仿宋" w:eastAsia="彩虹粗仿宋" w:hint="eastAsia"/>
          <w:sz w:val="28"/>
          <w:szCs w:val="28"/>
        </w:rPr>
        <w:t>”）签署的销售协议，</w:t>
      </w:r>
      <w:r w:rsidR="00D9189E">
        <w:rPr>
          <w:rFonts w:ascii="彩虹粗仿宋" w:eastAsia="彩虹粗仿宋" w:hint="eastAsia"/>
          <w:sz w:val="28"/>
          <w:szCs w:val="28"/>
        </w:rPr>
        <w:t>民商基金</w:t>
      </w:r>
      <w:r>
        <w:rPr>
          <w:rFonts w:ascii="彩虹粗仿宋" w:eastAsia="彩虹粗仿宋" w:hint="eastAsia"/>
          <w:sz w:val="28"/>
          <w:szCs w:val="28"/>
        </w:rPr>
        <w:t>将自20</w:t>
      </w:r>
      <w:r w:rsidR="00F66ECA">
        <w:rPr>
          <w:rFonts w:ascii="彩虹粗仿宋" w:eastAsia="彩虹粗仿宋" w:hint="eastAsia"/>
          <w:sz w:val="28"/>
          <w:szCs w:val="28"/>
        </w:rPr>
        <w:t>20</w:t>
      </w:r>
      <w:r>
        <w:rPr>
          <w:rFonts w:ascii="彩虹粗仿宋" w:eastAsia="彩虹粗仿宋" w:hint="eastAsia"/>
          <w:sz w:val="28"/>
          <w:szCs w:val="28"/>
        </w:rPr>
        <w:t>年</w:t>
      </w:r>
      <w:r w:rsidR="006B6CE2">
        <w:rPr>
          <w:rFonts w:ascii="彩虹粗仿宋" w:eastAsia="彩虹粗仿宋" w:hint="eastAsia"/>
          <w:sz w:val="28"/>
          <w:szCs w:val="28"/>
        </w:rPr>
        <w:t>9</w:t>
      </w:r>
      <w:r>
        <w:rPr>
          <w:rFonts w:ascii="彩虹粗仿宋" w:eastAsia="彩虹粗仿宋" w:hint="eastAsia"/>
          <w:sz w:val="28"/>
          <w:szCs w:val="28"/>
        </w:rPr>
        <w:t>月</w:t>
      </w:r>
      <w:r w:rsidR="00661C85">
        <w:rPr>
          <w:rFonts w:ascii="彩虹粗仿宋" w:eastAsia="彩虹粗仿宋" w:hint="eastAsia"/>
          <w:sz w:val="28"/>
          <w:szCs w:val="28"/>
        </w:rPr>
        <w:t>22</w:t>
      </w:r>
      <w:r>
        <w:rPr>
          <w:rFonts w:ascii="彩虹粗仿宋" w:eastAsia="彩虹粗仿宋" w:hint="eastAsia"/>
          <w:sz w:val="28"/>
          <w:szCs w:val="28"/>
        </w:rPr>
        <w:t>日起销售本公司旗下基金,具体如下：</w:t>
      </w:r>
    </w:p>
    <w:tbl>
      <w:tblPr>
        <w:tblW w:w="9032" w:type="dxa"/>
        <w:tblInd w:w="93" w:type="dxa"/>
        <w:tblLook w:val="04A0"/>
      </w:tblPr>
      <w:tblGrid>
        <w:gridCol w:w="584"/>
        <w:gridCol w:w="951"/>
        <w:gridCol w:w="3855"/>
        <w:gridCol w:w="3642"/>
      </w:tblGrid>
      <w:tr w:rsidR="00D72914" w:rsidRPr="00D72914" w:rsidTr="006B6CE2">
        <w:trPr>
          <w:trHeight w:val="301"/>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b/>
                <w:bCs/>
                <w:color w:val="000000"/>
                <w:kern w:val="0"/>
                <w:sz w:val="22"/>
                <w:szCs w:val="22"/>
              </w:rPr>
            </w:pPr>
            <w:r w:rsidRPr="00D72914">
              <w:rPr>
                <w:rFonts w:ascii="彩虹粗仿宋" w:eastAsia="彩虹粗仿宋" w:hAnsi="宋体" w:cs="宋体" w:hint="eastAsia"/>
                <w:b/>
                <w:bCs/>
                <w:color w:val="000000"/>
                <w:kern w:val="0"/>
                <w:sz w:val="22"/>
                <w:szCs w:val="22"/>
              </w:rPr>
              <w:t>序号</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b/>
                <w:bCs/>
                <w:color w:val="000000"/>
                <w:kern w:val="0"/>
                <w:sz w:val="22"/>
                <w:szCs w:val="22"/>
              </w:rPr>
            </w:pPr>
            <w:r w:rsidRPr="00D72914">
              <w:rPr>
                <w:rFonts w:ascii="彩虹粗仿宋" w:eastAsia="彩虹粗仿宋" w:hAnsi="宋体" w:cs="宋体" w:hint="eastAsia"/>
                <w:b/>
                <w:bCs/>
                <w:color w:val="000000"/>
                <w:kern w:val="0"/>
                <w:sz w:val="22"/>
                <w:szCs w:val="22"/>
              </w:rPr>
              <w:t>基金代码</w:t>
            </w:r>
          </w:p>
        </w:tc>
        <w:tc>
          <w:tcPr>
            <w:tcW w:w="3855" w:type="dxa"/>
            <w:tcBorders>
              <w:top w:val="single" w:sz="4" w:space="0" w:color="auto"/>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b/>
                <w:bCs/>
                <w:color w:val="000000"/>
                <w:kern w:val="0"/>
                <w:sz w:val="22"/>
                <w:szCs w:val="22"/>
              </w:rPr>
            </w:pPr>
            <w:r w:rsidRPr="00D72914">
              <w:rPr>
                <w:rFonts w:ascii="彩虹粗仿宋" w:eastAsia="彩虹粗仿宋" w:hAnsi="宋体" w:cs="宋体" w:hint="eastAsia"/>
                <w:b/>
                <w:bCs/>
                <w:color w:val="000000"/>
                <w:kern w:val="0"/>
                <w:sz w:val="22"/>
                <w:szCs w:val="22"/>
              </w:rPr>
              <w:t>基金全称</w:t>
            </w:r>
          </w:p>
        </w:tc>
        <w:tc>
          <w:tcPr>
            <w:tcW w:w="3755" w:type="dxa"/>
            <w:tcBorders>
              <w:top w:val="single" w:sz="4" w:space="0" w:color="auto"/>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b/>
                <w:bCs/>
                <w:color w:val="000000"/>
                <w:kern w:val="0"/>
                <w:sz w:val="22"/>
                <w:szCs w:val="22"/>
              </w:rPr>
            </w:pPr>
            <w:r w:rsidRPr="00D72914">
              <w:rPr>
                <w:rFonts w:ascii="彩虹粗仿宋" w:eastAsia="彩虹粗仿宋" w:hAnsi="宋体" w:cs="宋体" w:hint="eastAsia"/>
                <w:b/>
                <w:bCs/>
                <w:color w:val="000000"/>
                <w:kern w:val="0"/>
                <w:sz w:val="22"/>
                <w:szCs w:val="22"/>
              </w:rPr>
              <w:t>基金简称</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建信恒久价值混合型证券投资基金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建信恒久价值混合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建信货币市场基金A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建信货币A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003185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建信货币市场基金B</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建信货币B</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建信优选成长混合型证券投资基金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建信优选成长混合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建信优化配置混合型证券投资基金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建信优化配置混合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建信核心精选混合型证券投资基金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建信核心精选混合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建信稳定增利债券型证券投资基金C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建信稳定增利债券C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530009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建信收益增强债券型证券投资基金A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建信收益增强债券A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建信上证社会责任交易型基金联接基金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建信上证社会责任ETF联接</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建信内生动力混合型证券投资基金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建信内生动力混合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建信积极配置混合型证券投资基金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建信积极配置混合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lastRenderedPageBreak/>
              <w:t>12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建信深证基本面60交易型基金联接基金</w:t>
            </w:r>
            <w:r w:rsidR="0044790D">
              <w:rPr>
                <w:rFonts w:ascii="彩虹粗仿宋" w:eastAsia="彩虹粗仿宋" w:hAnsi="宋体" w:cs="宋体" w:hint="eastAsia"/>
                <w:color w:val="000000"/>
                <w:kern w:val="0"/>
                <w:sz w:val="22"/>
                <w:szCs w:val="22"/>
              </w:rPr>
              <w:t>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建信深证基本面60ETF联接</w:t>
            </w:r>
            <w:r w:rsidR="0044790D">
              <w:rPr>
                <w:rFonts w:ascii="彩虹粗仿宋" w:eastAsia="彩虹粗仿宋" w:hAnsi="宋体" w:cs="宋体" w:hint="eastAsia"/>
                <w:color w:val="000000"/>
                <w:kern w:val="0"/>
                <w:sz w:val="22"/>
                <w:szCs w:val="22"/>
              </w:rPr>
              <w:t>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建信恒稳价值混合型证券投资基金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建信恒稳价值混合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建信双息红利债券型证券投资基金A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建信双息红利债券A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建信深证100指数增强型证券投资基金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建信深证100指数增强</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530019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建信社会责任混合型证券投资基金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建信社会责任混合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530020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建信转债增强债券型证券投资基金A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建信转债增强债券A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530021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建信纯债债券型证券投资基金A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建信纯债债券A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531008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建信稳定增利债券型证券投资基金A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建信稳定增利债券A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531009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建信收益增强债券型证券投资基金C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建信收益增强债券A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531017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建信双息红利债券型证券投资基金C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建信双息红利债券C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531020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建信转债增强债券型证券投资基金C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建信转债增强债券C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531021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建信纯债债券型证券投资基金C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建信纯债债券C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539001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建信全球机遇混合型证券投资基金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建信全球机遇混合（QDII）</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539002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建信新兴市场优选混合型证券投资基金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建信新兴市场混合（QDII）</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539003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建信富时100指数型证券投资基金A人民币</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建信富时100指数（QDII）A人民币</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000056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建信消费升级混合型证券投资基金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建信消费升级混合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28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000105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建信安心回报定期开放债券型证券投资基金A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建信安心回报定期开放债券A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lastRenderedPageBreak/>
              <w:t>29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000106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建信安心回报定期开放债券型证券投资基金C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建信安心回报定期开放债券C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000207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建信双债增强债券型证券投资基金A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建信双债增强债券A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000208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建信双债增强债券型证券投资基金C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建信双债增强债券C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000270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 xml:space="preserve"> 建信灵活配置混合型证券投资基金 </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000308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建信创新中国混合型证券投资基金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建信创新中国混合</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000346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建信安心回报6个月定期开放债券型证券投资基金A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建信安心回报6个月定期开放债券A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000347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建信安心回报6个月定期开放债券型证券投资基金C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建信安心回报6个月定期开放债券C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000435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建信稳定添利债券型证券投资基金A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建信稳定添利债券A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000478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建信中证500指数增强型证券投资基金A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建信中证500指数增强A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000547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建信健康民生混合型证券投资基金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建信健康民生混合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39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000592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建信改革红利股票型证券投资基金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建信改革红利股票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000723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建信稳定添利债券型证券投资基金C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建信稳定添利债券C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000729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建信中小盘先锋股票型证券投资基金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建信中小盘先锋股票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000756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建信潜力新蓝筹股票型证券投资基金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建信潜力新蓝筹股票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000875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建信稳定得利债券型证券投资基金A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建信稳定得利债券A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000876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建信稳定得利债券型证券投资基金C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建信稳定得利债券C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000994</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建信睿盈灵活配置混合型证券投资基金A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建信睿盈灵活配置混合A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000995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建信睿盈灵活配置混合型证券投资基金C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建信睿盈灵活配置混合C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001070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建信信息产业股票型证券投资基金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建信信息产业股票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001166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建信环保产业股票型证券投资基金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建信环保产业股票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49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001276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建信新经济灵活配置混合型证券投资基金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建信新经济灵活配置</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001396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建信互联网+产业升级股票型证券投资基金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建信互联网+产业升级股票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001397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建信精工制造指数增强型证券投资基金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建信精工制造指数增强</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001473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建信大安全战略精选股票型证券投资基金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建信大安全战略精选股票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001858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001948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建信稳定丰利债券型证券投资基金A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 xml:space="preserve">建信稳定丰利债券A </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001949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建信稳定丰利债券型证券投资基金C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建信稳定丰利债券C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002281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建信裕利灵活配置混合型证券投资基金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建信裕利灵活配置混合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001781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建信现代服务业股票型证券投资基金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建信现代服务业股票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002378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建信弘利灵活配置混合型证券投资基金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建信弘利灵活配置混合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002573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建信汇利灵活配置混合型证券投资基金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建信汇利灵活配置混合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002585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建信兴利灵活配置混合型证券投资基金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 xml:space="preserve"> 建信兴利灵活配置混合 </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002952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建信多因子量化股票型证券投资基金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建信多因子量化股票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003022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建信现金添益交易型货币市场基金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建信现金添益货币</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003319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 xml:space="preserve">建信瑞丰添利混合型证券投资基金A </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 xml:space="preserve">建信瑞丰添利混合A </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003320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建信瑞丰添利混合型证券投资基金C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建信瑞丰添利混合C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001825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建信中国制造2025股票型证券投资基金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建信中国制造2025股票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003391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建信天添益货币市场基金A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建信天添益货币A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003393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建信天添益货币市场基金C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建信天添益货币C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004413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建信民丰回报定期开放混合型证券投资基金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建信民丰回报定期开放混合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69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004182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建信瑞福添利混合型证券投资基金A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建信瑞福添利混合A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006363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建信深证基本面60交易型开放式指数证券投资基金联接基金C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建信深证基本面60ETF联接C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004468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建信瑞福添利混合型证券投资基金C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建信瑞福添利混合C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004683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建信高端医疗股票型证券投资基金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建信高端医疗股票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005217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建信福泽安泰混合型基金中基金（FOF）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建信福泽安泰混合（FOF）</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004617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建信鑫稳回报灵活配置混合型证券投资基金A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建信鑫稳回报灵活配置混合A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004618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建信鑫稳回报灵活配置混合型证券投资基金C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建信鑫稳回报灵活配置混合C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004730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建信量化事件驱动股票型证券投资基金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建信量化事件驱动股票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004652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建信鑫利回报灵活配置混合型证券投资基金A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建信鑫利回报灵活配置混合A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004653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建信鑫利回报灵活配置混合型证券投资基金C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建信鑫利回报灵活配置混合C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79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004668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建信鑫泽回报灵活配置混合型证券投资基金A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建信鑫泽回报灵活配置混合A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004669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建信鑫泽回报灵活配置混合型证券投资基金C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建信鑫泽回报灵活配置混合C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005259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建信龙头企业股票型证券投资基金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建信龙头企业股票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005596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建信战略精选灵活配置混合型证券投资基金A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建信战略精选灵活配置混合A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005597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建信战略精选灵活配置混合型证券投资基金C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建信战略精选灵活配置混合C</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005829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建信MSCI中国A股国际通交易型开放式指数证券投资基金发起式联接基金A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建信MSCI中国A股国际通ETF联接A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005830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建信MSCI中国A股国际通交易型开放式指数证券投资基金发起式联接基金C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建信MSCI中国A股国际通ETF联接C</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005873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建信创业板交易型开放式指数证券投资基金发起式联接基金A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建信创业板ETF联接A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005874</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建信创业板交易型开放式指数证券投资基金发起式联接基金C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建信创业板ETF联接C</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004546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建信量化优享定期开放灵活配置混合型证券投资基金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建信量化优享定期开放灵活配置混合</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89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005880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建信上证50交易型开放式指数证券投资基金发起式联接基金A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建信上证50ETF联接A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005881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建信上证50交易型开放式指数证券投资基金发起式联接基金C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建信上证50ETF联接C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006165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建信中证1000指数增强型发起式证券投资基金A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建信中证1000指数增强A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006166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建信中证1000指数增强型发起式证券投资基金C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建信中证1000指数增强C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001205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建信稳健回报灵活配置混合型证券投资基金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建信稳健回报灵活配置混合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006791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建信睿兴纯债债券型证券投资基金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建信睿兴纯债债券</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006989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建信中短债纯债债券型证券投资基金A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建信中短债纯债债券A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006990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建信中短债纯债债券型证券投资基金C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建信中短债纯债债券C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006500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建信润利增强债券型证券投资基金A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建信润利增强债券A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006501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建信润利增强债券型证券投资基金C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建信润利增强债券C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99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007026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建信中债1-3年国开行债券指数证券投资基金A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建信中债1-3年国开行债券指数A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007027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建信中债1-3年国开行债券指数证券投资基金C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建信中债1-3年国开行债券指数C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007094</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建信中债3-5年国开行债券指数证券投资基金A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建信中债3-5年国开行债券指数A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007095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建信中债3-5年国开行债券指数证券投资基金C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建信中债3-5年国开行债券指数C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005925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建信福泽裕泰混合型基金中基金（FOF）A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建信福泽裕泰混合（FOF）A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005926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建信福泽裕泰混合型基金中基金（FOF）C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建信福泽裕泰混合（FOF）C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007671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建信中证红利潜力指数证券投资基金A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建信中证红利潜力指数A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007672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建信中证红利潜力指数证券投资基金C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建信中证红利潜力指数C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007080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建信中债5-10年国开行债券指数证券投资基金A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建信中债5-10年国开行债券指数A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007081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建信中债5-10年国开行债券指数证券投资基金C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建信中债5-10年国开行债券指数C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109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007699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建信荣禧一年定期开放债券型证券投资基金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建信荣禧一年定期开放债券</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007830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建信荣瑞一年定期开放债券型证券投资基金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建信荣瑞一年定期开放债券</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007806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建信MSCI中国A股指数增强型证券投资基金A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建信MSCI中国A股指数增强A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007807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建信MSCI中国A股指数增强型证券投资基金C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建信MSCI中国A股指数增强C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008177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建信高股息主题股票型证券投资基金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建信高股息主题股票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531028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建信短债债券型证券投资基金A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建信短债债券A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530028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建信短债债券型证券投资基金C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建信短债债券C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008962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建信科技创新混合型证券投资基金A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建信科技创新混合A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008963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建信科技创新混合型证券投资基金C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建信科技创新混合C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008706</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建信富时100指数型证券投资基金C人民币</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建信富时100指数（QDII）C人民币</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119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009147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建信新能源行业股票型证券投资基金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建信新能源行业股票</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120</w:t>
            </w:r>
          </w:p>
        </w:tc>
        <w:tc>
          <w:tcPr>
            <w:tcW w:w="876" w:type="dxa"/>
            <w:tcBorders>
              <w:top w:val="nil"/>
              <w:left w:val="nil"/>
              <w:bottom w:val="single" w:sz="4" w:space="0" w:color="auto"/>
              <w:right w:val="single" w:sz="4" w:space="0" w:color="auto"/>
            </w:tcBorders>
            <w:shd w:val="clear" w:color="auto" w:fill="auto"/>
            <w:noWrap/>
            <w:vAlign w:val="bottom"/>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009033</w:t>
            </w:r>
          </w:p>
        </w:tc>
        <w:tc>
          <w:tcPr>
            <w:tcW w:w="3855" w:type="dxa"/>
            <w:tcBorders>
              <w:top w:val="nil"/>
              <w:left w:val="nil"/>
              <w:bottom w:val="single" w:sz="4" w:space="0" w:color="auto"/>
              <w:right w:val="single" w:sz="4" w:space="0" w:color="auto"/>
            </w:tcBorders>
            <w:shd w:val="clear" w:color="auto" w:fill="auto"/>
            <w:noWrap/>
            <w:vAlign w:val="bottom"/>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建信上海金交易型开放式证券投资基金联接基金A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建信上海金ETF联接基金A</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121</w:t>
            </w:r>
          </w:p>
        </w:tc>
        <w:tc>
          <w:tcPr>
            <w:tcW w:w="876" w:type="dxa"/>
            <w:tcBorders>
              <w:top w:val="nil"/>
              <w:left w:val="nil"/>
              <w:bottom w:val="single" w:sz="4" w:space="0" w:color="auto"/>
              <w:right w:val="single" w:sz="4" w:space="0" w:color="auto"/>
            </w:tcBorders>
            <w:shd w:val="clear" w:color="auto" w:fill="auto"/>
            <w:noWrap/>
            <w:vAlign w:val="bottom"/>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009034</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建信上海金交易型开放式证券投资基金联接基金C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建信上海金ETF联接基金C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122</w:t>
            </w:r>
          </w:p>
        </w:tc>
        <w:tc>
          <w:tcPr>
            <w:tcW w:w="876" w:type="dxa"/>
            <w:tcBorders>
              <w:top w:val="nil"/>
              <w:left w:val="nil"/>
              <w:bottom w:val="single" w:sz="4" w:space="0" w:color="auto"/>
              <w:right w:val="single" w:sz="4" w:space="0" w:color="auto"/>
            </w:tcBorders>
            <w:shd w:val="clear" w:color="auto" w:fill="auto"/>
            <w:noWrap/>
            <w:vAlign w:val="bottom"/>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009476</w:t>
            </w:r>
          </w:p>
        </w:tc>
        <w:tc>
          <w:tcPr>
            <w:tcW w:w="3855" w:type="dxa"/>
            <w:tcBorders>
              <w:top w:val="nil"/>
              <w:left w:val="nil"/>
              <w:bottom w:val="single" w:sz="4" w:space="0" w:color="auto"/>
              <w:right w:val="single" w:sz="4" w:space="0" w:color="auto"/>
            </w:tcBorders>
            <w:shd w:val="clear" w:color="auto" w:fill="auto"/>
            <w:noWrap/>
            <w:vAlign w:val="bottom"/>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建信食品饮料行业股票型证券投资基金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建信食品饮料行业股票</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165317</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建信丰裕多策略灵活配置混合型证券投资基金（LOF）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建信丰裕多策略混合（LOF）</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165310</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建信沪深300指数增强型证券投资基金（LOF）A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建信沪深300指数增强（LOF）A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125</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009208</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建信沪深300指数增强型证券投资基金（LOF）C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建信沪深300指数增强（LOF）C</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126</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165309</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建信沪深300指数证券投资基金（LOF）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建信沪深300指数（LOF）</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127</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165312</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建信央视财经50指数分级发起式证券投资基金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建信央视财经50指数</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128</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165313</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建信优势动力混合型证券投资基金（LOF）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建信优势动力混合（LOF）</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129</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建信信用增强债券型证券投资基金A</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建信信用增强债券A</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130</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165314</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建信信用增强债券型证券投资基金C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建信信用增强债券C</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131</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501105</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建信中证政策性金融债8-10年指数证券投资基金（LOF）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建信政金债8-10年指数（LOF）</w:t>
            </w:r>
          </w:p>
        </w:tc>
      </w:tr>
      <w:tr w:rsidR="00D72914" w:rsidRPr="00D72914" w:rsidTr="006B6CE2">
        <w:trPr>
          <w:trHeight w:val="60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132</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006581</w:t>
            </w:r>
          </w:p>
        </w:tc>
        <w:tc>
          <w:tcPr>
            <w:tcW w:w="38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建信优享稳健养老目标一年持有期混合型基金中基金（FOF）</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建信优享稳健养老目标一年持有期混合（FOF）</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133</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001304</w:t>
            </w:r>
          </w:p>
        </w:tc>
        <w:tc>
          <w:tcPr>
            <w:tcW w:w="3855"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建信鑫安回报灵活配置混合型证券投资基金</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建信鑫安回报灵活配置混合</w:t>
            </w:r>
          </w:p>
        </w:tc>
      </w:tr>
      <w:tr w:rsidR="00D72914"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134</w:t>
            </w:r>
          </w:p>
        </w:tc>
        <w:tc>
          <w:tcPr>
            <w:tcW w:w="876"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005633</w:t>
            </w:r>
          </w:p>
        </w:tc>
        <w:tc>
          <w:tcPr>
            <w:tcW w:w="3855" w:type="dxa"/>
            <w:tcBorders>
              <w:top w:val="nil"/>
              <w:left w:val="nil"/>
              <w:bottom w:val="single" w:sz="4" w:space="0" w:color="auto"/>
              <w:right w:val="single" w:sz="4" w:space="0" w:color="auto"/>
            </w:tcBorders>
            <w:shd w:val="clear" w:color="auto" w:fill="auto"/>
            <w:noWrap/>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建信中证500指数增强型证券投资基金C</w:t>
            </w:r>
          </w:p>
        </w:tc>
        <w:tc>
          <w:tcPr>
            <w:tcW w:w="3755" w:type="dxa"/>
            <w:tcBorders>
              <w:top w:val="nil"/>
              <w:left w:val="nil"/>
              <w:bottom w:val="single" w:sz="4" w:space="0" w:color="auto"/>
              <w:right w:val="single" w:sz="4" w:space="0" w:color="auto"/>
            </w:tcBorders>
            <w:shd w:val="clear" w:color="auto" w:fill="auto"/>
            <w:vAlign w:val="center"/>
            <w:hideMark/>
          </w:tcPr>
          <w:p w:rsidR="00D72914" w:rsidRPr="00D72914" w:rsidRDefault="00D72914" w:rsidP="00D72914">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建信中证500指数增强C</w:t>
            </w:r>
          </w:p>
        </w:tc>
      </w:tr>
      <w:tr w:rsidR="006B6CE2"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6B6CE2" w:rsidRPr="00D72914" w:rsidRDefault="006B6CE2" w:rsidP="006B6CE2">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w:t>
            </w:r>
            <w:r>
              <w:rPr>
                <w:rFonts w:ascii="彩虹粗仿宋" w:eastAsia="彩虹粗仿宋" w:hAnsi="宋体" w:cs="宋体" w:hint="eastAsia"/>
                <w:color w:val="000000"/>
                <w:kern w:val="0"/>
                <w:sz w:val="22"/>
                <w:szCs w:val="22"/>
              </w:rPr>
              <w:t>5</w:t>
            </w:r>
          </w:p>
        </w:tc>
        <w:tc>
          <w:tcPr>
            <w:tcW w:w="876" w:type="dxa"/>
            <w:tcBorders>
              <w:top w:val="nil"/>
              <w:left w:val="nil"/>
              <w:bottom w:val="single" w:sz="4" w:space="0" w:color="auto"/>
              <w:right w:val="single" w:sz="4" w:space="0" w:color="auto"/>
            </w:tcBorders>
            <w:shd w:val="clear" w:color="auto" w:fill="auto"/>
            <w:noWrap/>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color w:val="000000"/>
                <w:kern w:val="0"/>
                <w:sz w:val="22"/>
                <w:szCs w:val="22"/>
              </w:rPr>
              <w:t>008827</w:t>
            </w:r>
          </w:p>
        </w:tc>
        <w:tc>
          <w:tcPr>
            <w:tcW w:w="3855" w:type="dxa"/>
            <w:tcBorders>
              <w:top w:val="nil"/>
              <w:left w:val="nil"/>
              <w:bottom w:val="single" w:sz="4" w:space="0" w:color="auto"/>
              <w:right w:val="single" w:sz="4" w:space="0" w:color="auto"/>
            </w:tcBorders>
            <w:shd w:val="clear" w:color="auto" w:fill="auto"/>
            <w:noWrap/>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hint="eastAsia"/>
                <w:color w:val="000000"/>
                <w:kern w:val="0"/>
                <w:sz w:val="22"/>
                <w:szCs w:val="22"/>
              </w:rPr>
              <w:t>建信易盛郑商所能源化工期货交易型开放式指数证券投资基金发起式联接基金</w:t>
            </w:r>
            <w:r>
              <w:rPr>
                <w:rFonts w:ascii="彩虹粗仿宋" w:eastAsia="彩虹粗仿宋" w:hAnsi="宋体" w:cs="宋体" w:hint="eastAsia"/>
                <w:color w:val="000000"/>
                <w:kern w:val="0"/>
                <w:sz w:val="22"/>
                <w:szCs w:val="22"/>
              </w:rPr>
              <w:t>A</w:t>
            </w:r>
          </w:p>
        </w:tc>
        <w:tc>
          <w:tcPr>
            <w:tcW w:w="3755" w:type="dxa"/>
            <w:tcBorders>
              <w:top w:val="nil"/>
              <w:left w:val="nil"/>
              <w:bottom w:val="single" w:sz="4" w:space="0" w:color="auto"/>
              <w:right w:val="single" w:sz="4" w:space="0" w:color="auto"/>
            </w:tcBorders>
            <w:shd w:val="clear" w:color="auto" w:fill="auto"/>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hint="eastAsia"/>
                <w:color w:val="000000"/>
                <w:kern w:val="0"/>
                <w:sz w:val="22"/>
                <w:szCs w:val="22"/>
              </w:rPr>
              <w:t>建信易盛郑商所能源化工期货ETF联接A</w:t>
            </w:r>
          </w:p>
        </w:tc>
      </w:tr>
      <w:tr w:rsidR="006B6CE2" w:rsidRPr="00D72914" w:rsidTr="006B6CE2">
        <w:trPr>
          <w:trHeight w:val="30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6B6CE2" w:rsidRPr="00D72914" w:rsidRDefault="006B6CE2" w:rsidP="006B6CE2">
            <w:pPr>
              <w:widowControl/>
              <w:jc w:val="center"/>
              <w:rPr>
                <w:rFonts w:ascii="彩虹粗仿宋" w:eastAsia="彩虹粗仿宋" w:hAnsi="宋体" w:cs="宋体"/>
                <w:color w:val="000000"/>
                <w:kern w:val="0"/>
                <w:sz w:val="22"/>
                <w:szCs w:val="22"/>
              </w:rPr>
            </w:pPr>
            <w:r w:rsidRPr="00D72914">
              <w:rPr>
                <w:rFonts w:ascii="彩虹粗仿宋" w:eastAsia="彩虹粗仿宋" w:hAnsi="宋体" w:cs="宋体" w:hint="eastAsia"/>
                <w:color w:val="000000"/>
                <w:kern w:val="0"/>
                <w:sz w:val="22"/>
                <w:szCs w:val="22"/>
              </w:rPr>
              <w:t>13</w:t>
            </w:r>
            <w:r>
              <w:rPr>
                <w:rFonts w:ascii="彩虹粗仿宋" w:eastAsia="彩虹粗仿宋" w:hAnsi="宋体" w:cs="宋体" w:hint="eastAsia"/>
                <w:color w:val="000000"/>
                <w:kern w:val="0"/>
                <w:sz w:val="22"/>
                <w:szCs w:val="22"/>
              </w:rPr>
              <w:t>6</w:t>
            </w:r>
          </w:p>
        </w:tc>
        <w:tc>
          <w:tcPr>
            <w:tcW w:w="876" w:type="dxa"/>
            <w:tcBorders>
              <w:top w:val="nil"/>
              <w:left w:val="nil"/>
              <w:bottom w:val="single" w:sz="4" w:space="0" w:color="auto"/>
              <w:right w:val="single" w:sz="4" w:space="0" w:color="auto"/>
            </w:tcBorders>
            <w:shd w:val="clear" w:color="auto" w:fill="auto"/>
            <w:noWrap/>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color w:val="000000"/>
                <w:kern w:val="0"/>
                <w:sz w:val="22"/>
                <w:szCs w:val="22"/>
              </w:rPr>
              <w:t>008828</w:t>
            </w:r>
          </w:p>
        </w:tc>
        <w:tc>
          <w:tcPr>
            <w:tcW w:w="3855" w:type="dxa"/>
            <w:tcBorders>
              <w:top w:val="nil"/>
              <w:left w:val="nil"/>
              <w:bottom w:val="single" w:sz="4" w:space="0" w:color="auto"/>
              <w:right w:val="single" w:sz="4" w:space="0" w:color="auto"/>
            </w:tcBorders>
            <w:shd w:val="clear" w:color="auto" w:fill="auto"/>
            <w:noWrap/>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hint="eastAsia"/>
                <w:color w:val="000000"/>
                <w:kern w:val="0"/>
                <w:sz w:val="22"/>
                <w:szCs w:val="22"/>
              </w:rPr>
              <w:t>建信易盛郑商所能源化工期货交易型开放式指数证券投资基金发起式联接基金</w:t>
            </w:r>
            <w:r>
              <w:rPr>
                <w:rFonts w:ascii="彩虹粗仿宋" w:eastAsia="彩虹粗仿宋" w:hAnsi="宋体" w:cs="宋体" w:hint="eastAsia"/>
                <w:color w:val="000000"/>
                <w:kern w:val="0"/>
                <w:sz w:val="22"/>
                <w:szCs w:val="22"/>
              </w:rPr>
              <w:t>C</w:t>
            </w:r>
          </w:p>
        </w:tc>
        <w:tc>
          <w:tcPr>
            <w:tcW w:w="3755" w:type="dxa"/>
            <w:tcBorders>
              <w:top w:val="nil"/>
              <w:left w:val="nil"/>
              <w:bottom w:val="single" w:sz="4" w:space="0" w:color="auto"/>
              <w:right w:val="single" w:sz="4" w:space="0" w:color="auto"/>
            </w:tcBorders>
            <w:shd w:val="clear" w:color="auto" w:fill="auto"/>
            <w:vAlign w:val="center"/>
            <w:hideMark/>
          </w:tcPr>
          <w:p w:rsidR="006B6CE2" w:rsidRPr="00D72914" w:rsidRDefault="006B6CE2" w:rsidP="00461769">
            <w:pPr>
              <w:widowControl/>
              <w:jc w:val="center"/>
              <w:rPr>
                <w:rFonts w:ascii="彩虹粗仿宋" w:eastAsia="彩虹粗仿宋" w:hAnsi="宋体" w:cs="宋体"/>
                <w:color w:val="000000"/>
                <w:kern w:val="0"/>
                <w:sz w:val="22"/>
                <w:szCs w:val="22"/>
              </w:rPr>
            </w:pPr>
            <w:r w:rsidRPr="006B6CE2">
              <w:rPr>
                <w:rFonts w:ascii="彩虹粗仿宋" w:eastAsia="彩虹粗仿宋" w:hAnsi="宋体" w:cs="宋体" w:hint="eastAsia"/>
                <w:color w:val="000000"/>
                <w:kern w:val="0"/>
                <w:sz w:val="22"/>
                <w:szCs w:val="22"/>
              </w:rPr>
              <w:t>建信易盛郑商所能源化工期货ETF联接C</w:t>
            </w:r>
          </w:p>
        </w:tc>
      </w:tr>
    </w:tbl>
    <w:p w:rsidR="006B6CE2" w:rsidRPr="006B6CE2" w:rsidRDefault="006B6CE2">
      <w:pPr>
        <w:spacing w:line="360" w:lineRule="auto"/>
        <w:ind w:firstLineChars="200" w:firstLine="560"/>
        <w:rPr>
          <w:rFonts w:ascii="彩虹粗仿宋" w:eastAsia="彩虹粗仿宋" w:hint="eastAsia"/>
          <w:sz w:val="28"/>
          <w:szCs w:val="28"/>
        </w:rPr>
      </w:pPr>
    </w:p>
    <w:p w:rsidR="0064698A" w:rsidRDefault="0064698A">
      <w:pPr>
        <w:spacing w:line="360" w:lineRule="auto"/>
        <w:ind w:firstLineChars="200" w:firstLine="560"/>
        <w:rPr>
          <w:rFonts w:ascii="彩虹粗仿宋" w:eastAsia="彩虹粗仿宋" w:hint="eastAsia"/>
          <w:sz w:val="28"/>
          <w:szCs w:val="28"/>
        </w:rPr>
      </w:pPr>
      <w:r>
        <w:rPr>
          <w:rFonts w:ascii="彩虹粗仿宋" w:eastAsia="彩虹粗仿宋" w:hint="eastAsia"/>
          <w:sz w:val="28"/>
          <w:szCs w:val="28"/>
        </w:rPr>
        <w:t>自20</w:t>
      </w:r>
      <w:r w:rsidR="00C82EB1">
        <w:rPr>
          <w:rFonts w:ascii="彩虹粗仿宋" w:eastAsia="彩虹粗仿宋" w:hint="eastAsia"/>
          <w:sz w:val="28"/>
          <w:szCs w:val="28"/>
        </w:rPr>
        <w:t>20</w:t>
      </w:r>
      <w:r>
        <w:rPr>
          <w:rFonts w:ascii="彩虹粗仿宋" w:eastAsia="彩虹粗仿宋" w:hint="eastAsia"/>
          <w:sz w:val="28"/>
          <w:szCs w:val="28"/>
        </w:rPr>
        <w:t>年</w:t>
      </w:r>
      <w:r w:rsidR="006B6CE2">
        <w:rPr>
          <w:rFonts w:ascii="彩虹粗仿宋" w:eastAsia="彩虹粗仿宋" w:hint="eastAsia"/>
          <w:sz w:val="28"/>
          <w:szCs w:val="28"/>
        </w:rPr>
        <w:t>9</w:t>
      </w:r>
      <w:r>
        <w:rPr>
          <w:rFonts w:ascii="彩虹粗仿宋" w:eastAsia="彩虹粗仿宋" w:hint="eastAsia"/>
          <w:sz w:val="28"/>
          <w:szCs w:val="28"/>
        </w:rPr>
        <w:t>月</w:t>
      </w:r>
      <w:r w:rsidR="00661C85">
        <w:rPr>
          <w:rFonts w:ascii="彩虹粗仿宋" w:eastAsia="彩虹粗仿宋" w:hint="eastAsia"/>
          <w:sz w:val="28"/>
          <w:szCs w:val="28"/>
        </w:rPr>
        <w:t>22</w:t>
      </w:r>
      <w:r>
        <w:rPr>
          <w:rFonts w:ascii="彩虹粗仿宋" w:eastAsia="彩虹粗仿宋" w:hint="eastAsia"/>
          <w:sz w:val="28"/>
          <w:szCs w:val="28"/>
        </w:rPr>
        <w:t>日起，投资者可在</w:t>
      </w:r>
      <w:r w:rsidR="00D9189E">
        <w:rPr>
          <w:rFonts w:ascii="彩虹粗仿宋" w:eastAsia="彩虹粗仿宋" w:hint="eastAsia"/>
          <w:sz w:val="28"/>
          <w:szCs w:val="28"/>
        </w:rPr>
        <w:t>民商基金</w:t>
      </w:r>
      <w:r>
        <w:rPr>
          <w:rFonts w:ascii="彩虹粗仿宋" w:eastAsia="彩虹粗仿宋" w:hint="eastAsia"/>
          <w:sz w:val="28"/>
          <w:szCs w:val="28"/>
        </w:rPr>
        <w:t>的营业网点办理基金的开户、申购、赎回、认购、</w:t>
      </w:r>
      <w:r w:rsidR="00911028">
        <w:rPr>
          <w:rFonts w:ascii="彩虹粗仿宋" w:eastAsia="彩虹粗仿宋" w:hint="eastAsia"/>
          <w:sz w:val="28"/>
          <w:szCs w:val="28"/>
        </w:rPr>
        <w:t>定投、</w:t>
      </w:r>
      <w:r>
        <w:rPr>
          <w:rFonts w:ascii="彩虹粗仿宋" w:eastAsia="彩虹粗仿宋" w:hint="eastAsia"/>
          <w:sz w:val="28"/>
          <w:szCs w:val="28"/>
        </w:rPr>
        <w:t>转换和转托管等业务，具体业务的办理请参照本公司及</w:t>
      </w:r>
      <w:r w:rsidR="00D9189E">
        <w:rPr>
          <w:rFonts w:ascii="彩虹粗仿宋" w:eastAsia="彩虹粗仿宋" w:hint="eastAsia"/>
          <w:sz w:val="28"/>
          <w:szCs w:val="28"/>
        </w:rPr>
        <w:t>民商基金</w:t>
      </w:r>
      <w:r>
        <w:rPr>
          <w:rFonts w:ascii="彩虹粗仿宋" w:eastAsia="彩虹粗仿宋" w:hint="eastAsia"/>
          <w:sz w:val="28"/>
          <w:szCs w:val="28"/>
        </w:rPr>
        <w:t>的相关业务规则和流程。投资者欲了解基金产品的详细情况，请仔细阅读基金产品的基金合同、招募说明书等法律文件。</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同时，经与</w:t>
      </w:r>
      <w:r w:rsidR="00D9189E">
        <w:rPr>
          <w:rFonts w:ascii="彩虹粗仿宋" w:eastAsia="彩虹粗仿宋" w:hint="eastAsia"/>
          <w:sz w:val="28"/>
          <w:szCs w:val="28"/>
        </w:rPr>
        <w:t>民商基金</w:t>
      </w:r>
      <w:r>
        <w:rPr>
          <w:rFonts w:ascii="彩虹粗仿宋" w:eastAsia="彩虹粗仿宋" w:hint="eastAsia"/>
          <w:sz w:val="28"/>
          <w:szCs w:val="28"/>
        </w:rPr>
        <w:t>协商一致，本公司自20</w:t>
      </w:r>
      <w:r w:rsidR="00C82EB1">
        <w:rPr>
          <w:rFonts w:ascii="彩虹粗仿宋" w:eastAsia="彩虹粗仿宋" w:hint="eastAsia"/>
          <w:sz w:val="28"/>
          <w:szCs w:val="28"/>
        </w:rPr>
        <w:t>20</w:t>
      </w:r>
      <w:r>
        <w:rPr>
          <w:rFonts w:ascii="彩虹粗仿宋" w:eastAsia="彩虹粗仿宋" w:hint="eastAsia"/>
          <w:sz w:val="28"/>
          <w:szCs w:val="28"/>
        </w:rPr>
        <w:t>年</w:t>
      </w:r>
      <w:r w:rsidR="006B6CE2">
        <w:rPr>
          <w:rFonts w:ascii="彩虹粗仿宋" w:eastAsia="彩虹粗仿宋" w:hint="eastAsia"/>
          <w:sz w:val="28"/>
          <w:szCs w:val="28"/>
        </w:rPr>
        <w:t>9</w:t>
      </w:r>
      <w:r>
        <w:rPr>
          <w:rFonts w:ascii="彩虹粗仿宋" w:eastAsia="彩虹粗仿宋" w:hint="eastAsia"/>
          <w:sz w:val="28"/>
          <w:szCs w:val="28"/>
        </w:rPr>
        <w:t>月</w:t>
      </w:r>
      <w:r w:rsidR="00661C85">
        <w:rPr>
          <w:rFonts w:ascii="彩虹粗仿宋" w:eastAsia="彩虹粗仿宋" w:hint="eastAsia"/>
          <w:sz w:val="28"/>
          <w:szCs w:val="28"/>
        </w:rPr>
        <w:t>22</w:t>
      </w:r>
      <w:r>
        <w:rPr>
          <w:rFonts w:ascii="彩虹粗仿宋" w:eastAsia="彩虹粗仿宋" w:hint="eastAsia"/>
          <w:sz w:val="28"/>
          <w:szCs w:val="28"/>
        </w:rPr>
        <w:t>日起参加</w:t>
      </w:r>
      <w:r w:rsidR="00D9189E">
        <w:rPr>
          <w:rFonts w:ascii="彩虹粗仿宋" w:eastAsia="彩虹粗仿宋" w:hint="eastAsia"/>
          <w:sz w:val="28"/>
          <w:szCs w:val="28"/>
        </w:rPr>
        <w:t>民商基金</w:t>
      </w:r>
      <w:r>
        <w:rPr>
          <w:rFonts w:ascii="彩虹粗仿宋" w:eastAsia="彩虹粗仿宋" w:hint="eastAsia"/>
          <w:sz w:val="28"/>
          <w:szCs w:val="28"/>
        </w:rPr>
        <w:t>的认（申）购、</w:t>
      </w:r>
      <w:r w:rsidR="00911028">
        <w:rPr>
          <w:rFonts w:ascii="彩虹粗仿宋" w:eastAsia="彩虹粗仿宋" w:hint="eastAsia"/>
          <w:sz w:val="28"/>
          <w:szCs w:val="28"/>
        </w:rPr>
        <w:t>定投和</w:t>
      </w:r>
      <w:r>
        <w:rPr>
          <w:rFonts w:ascii="彩虹粗仿宋" w:eastAsia="彩虹粗仿宋" w:hint="eastAsia"/>
          <w:sz w:val="28"/>
          <w:szCs w:val="28"/>
        </w:rPr>
        <w:t>转换费率</w:t>
      </w:r>
      <w:r w:rsidR="002C0085">
        <w:rPr>
          <w:rFonts w:ascii="彩虹粗仿宋" w:eastAsia="彩虹粗仿宋" w:hint="eastAsia"/>
          <w:sz w:val="28"/>
          <w:szCs w:val="28"/>
        </w:rPr>
        <w:t>等</w:t>
      </w:r>
      <w:r>
        <w:rPr>
          <w:rFonts w:ascii="彩虹粗仿宋" w:eastAsia="彩虹粗仿宋" w:hint="eastAsia"/>
          <w:sz w:val="28"/>
          <w:szCs w:val="28"/>
        </w:rPr>
        <w:t>优惠活动，本公司旗下开放式证券投资基金均可</w:t>
      </w:r>
      <w:r w:rsidR="00911028">
        <w:rPr>
          <w:rFonts w:ascii="彩虹粗仿宋" w:eastAsia="彩虹粗仿宋" w:hint="eastAsia"/>
          <w:sz w:val="28"/>
          <w:szCs w:val="28"/>
        </w:rPr>
        <w:t>参与，适用投资者范围、具体参与基金、活动结束时间以及认（申）购、定投和</w:t>
      </w:r>
      <w:r>
        <w:rPr>
          <w:rFonts w:ascii="彩虹粗仿宋" w:eastAsia="彩虹粗仿宋" w:hint="eastAsia"/>
          <w:sz w:val="28"/>
          <w:szCs w:val="28"/>
        </w:rPr>
        <w:t>转换费率折扣等各项优惠活动细则以</w:t>
      </w:r>
      <w:r w:rsidR="00D9189E">
        <w:rPr>
          <w:rFonts w:ascii="彩虹粗仿宋" w:eastAsia="彩虹粗仿宋" w:hint="eastAsia"/>
          <w:sz w:val="28"/>
          <w:szCs w:val="28"/>
        </w:rPr>
        <w:t>民商基金</w:t>
      </w:r>
      <w:r>
        <w:rPr>
          <w:rFonts w:ascii="彩虹粗仿宋" w:eastAsia="彩虹粗仿宋" w:hint="eastAsia"/>
          <w:sz w:val="28"/>
          <w:szCs w:val="28"/>
        </w:rPr>
        <w:t>的公告为准，我</w:t>
      </w:r>
      <w:r w:rsidR="002C0085">
        <w:rPr>
          <w:rFonts w:ascii="彩虹粗仿宋" w:eastAsia="彩虹粗仿宋" w:hint="eastAsia"/>
          <w:sz w:val="28"/>
          <w:szCs w:val="28"/>
        </w:rPr>
        <w:t>公</w:t>
      </w:r>
      <w:r>
        <w:rPr>
          <w:rFonts w:ascii="彩虹粗仿宋" w:eastAsia="彩虹粗仿宋" w:hint="eastAsia"/>
          <w:sz w:val="28"/>
          <w:szCs w:val="28"/>
        </w:rPr>
        <w:t>司不再另行公告。重要提示如下：</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（1）优惠活动的费率折扣由</w:t>
      </w:r>
      <w:r w:rsidR="00D9189E">
        <w:rPr>
          <w:rFonts w:ascii="彩虹粗仿宋" w:eastAsia="彩虹粗仿宋" w:hint="eastAsia"/>
          <w:sz w:val="28"/>
          <w:szCs w:val="28"/>
        </w:rPr>
        <w:t>民商基金</w:t>
      </w:r>
      <w:r>
        <w:rPr>
          <w:rFonts w:ascii="彩虹粗仿宋" w:eastAsia="彩虹粗仿宋" w:hint="eastAsia"/>
          <w:sz w:val="28"/>
          <w:szCs w:val="28"/>
        </w:rPr>
        <w:t>决定和执行，本公司根据</w:t>
      </w:r>
      <w:r w:rsidR="00D9189E">
        <w:rPr>
          <w:rFonts w:ascii="彩虹粗仿宋" w:eastAsia="彩虹粗仿宋" w:hint="eastAsia"/>
          <w:sz w:val="28"/>
          <w:szCs w:val="28"/>
        </w:rPr>
        <w:t>民商基金</w:t>
      </w:r>
      <w:r>
        <w:rPr>
          <w:rFonts w:ascii="彩虹粗仿宋" w:eastAsia="彩虹粗仿宋" w:hint="eastAsia"/>
          <w:sz w:val="28"/>
          <w:szCs w:val="28"/>
        </w:rPr>
        <w:t>提供的费率折扣办理。优惠活动解释权归</w:t>
      </w:r>
      <w:r w:rsidR="00D9189E">
        <w:rPr>
          <w:rFonts w:ascii="彩虹粗仿宋" w:eastAsia="彩虹粗仿宋" w:hint="eastAsia"/>
          <w:sz w:val="28"/>
          <w:szCs w:val="28"/>
        </w:rPr>
        <w:t>民商基金</w:t>
      </w:r>
      <w:r>
        <w:rPr>
          <w:rFonts w:ascii="彩虹粗仿宋" w:eastAsia="彩虹粗仿宋" w:hint="eastAsia"/>
          <w:sz w:val="28"/>
          <w:szCs w:val="28"/>
        </w:rPr>
        <w:t>所有，且其有权对上述优惠活动内容进行变更，本公司不再另行公告。有关优惠活动具体事宜，请咨询</w:t>
      </w:r>
      <w:r w:rsidR="00D9189E">
        <w:rPr>
          <w:rFonts w:ascii="彩虹粗仿宋" w:eastAsia="彩虹粗仿宋" w:hint="eastAsia"/>
          <w:sz w:val="28"/>
          <w:szCs w:val="28"/>
        </w:rPr>
        <w:t>民商基金</w:t>
      </w:r>
      <w:r>
        <w:rPr>
          <w:rFonts w:ascii="彩虹粗仿宋" w:eastAsia="彩虹粗仿宋" w:hint="eastAsia"/>
          <w:sz w:val="28"/>
          <w:szCs w:val="28"/>
        </w:rPr>
        <w:t>。</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（2）本公司开放式证券投资基金若由</w:t>
      </w:r>
      <w:r w:rsidR="00D9189E">
        <w:rPr>
          <w:rFonts w:ascii="彩虹粗仿宋" w:eastAsia="彩虹粗仿宋" w:hint="eastAsia"/>
          <w:sz w:val="28"/>
          <w:szCs w:val="28"/>
        </w:rPr>
        <w:t>民商基金</w:t>
      </w:r>
      <w:r>
        <w:rPr>
          <w:rFonts w:ascii="彩虹粗仿宋" w:eastAsia="彩虹粗仿宋" w:hint="eastAsia"/>
          <w:sz w:val="28"/>
          <w:szCs w:val="28"/>
        </w:rPr>
        <w:t>代销，且届时优惠活动仍然持续，则该基金自动参与此项优惠活动，本公司不再另行公告。如有某只或某些特定基金产品不适用费率优惠，则由本公司另行公告确定。</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（3）投资者欲了解上述各只基金产品的详细情况，请仔细阅读上述各只基金产品的《基金合同》、《招募说明书》等法律文件。上述各只基金产品的原申购费率、是否开展定期定额投资业务</w:t>
      </w:r>
      <w:r w:rsidR="00D635B4">
        <w:rPr>
          <w:rFonts w:ascii="彩虹粗仿宋" w:eastAsia="彩虹粗仿宋" w:hint="eastAsia"/>
          <w:sz w:val="28"/>
          <w:szCs w:val="28"/>
        </w:rPr>
        <w:t>和基金转换业务</w:t>
      </w:r>
      <w:r>
        <w:rPr>
          <w:rFonts w:ascii="彩虹粗仿宋" w:eastAsia="彩虹粗仿宋" w:hint="eastAsia"/>
          <w:sz w:val="28"/>
          <w:szCs w:val="28"/>
        </w:rPr>
        <w:t>以各基金产品的《基金合同》、《招募说明书》及相关最新公告为准。</w:t>
      </w:r>
    </w:p>
    <w:p w:rsidR="0064698A" w:rsidRPr="00477FD7" w:rsidRDefault="0064698A">
      <w:pPr>
        <w:spacing w:line="360" w:lineRule="auto"/>
        <w:rPr>
          <w:rFonts w:hint="eastAsia"/>
          <w:sz w:val="24"/>
        </w:rPr>
      </w:pPr>
    </w:p>
    <w:p w:rsidR="0064698A" w:rsidRDefault="0064698A">
      <w:pPr>
        <w:spacing w:line="360" w:lineRule="auto"/>
        <w:ind w:firstLine="420"/>
        <w:rPr>
          <w:rFonts w:ascii="彩虹粗仿宋" w:eastAsia="彩虹粗仿宋" w:hint="eastAsia"/>
          <w:b/>
          <w:sz w:val="28"/>
          <w:szCs w:val="28"/>
        </w:rPr>
      </w:pPr>
      <w:r>
        <w:rPr>
          <w:rFonts w:ascii="彩虹粗仿宋" w:eastAsia="彩虹粗仿宋" w:hint="eastAsia"/>
          <w:b/>
          <w:sz w:val="28"/>
          <w:szCs w:val="28"/>
        </w:rPr>
        <w:t>1</w:t>
      </w:r>
      <w:r w:rsidR="00C82EB1">
        <w:rPr>
          <w:rFonts w:ascii="彩虹粗仿宋" w:eastAsia="彩虹粗仿宋" w:hint="eastAsia"/>
          <w:b/>
          <w:sz w:val="28"/>
          <w:szCs w:val="28"/>
        </w:rPr>
        <w:t>、</w:t>
      </w:r>
      <w:r w:rsidR="00D9189E">
        <w:rPr>
          <w:rFonts w:ascii="彩虹粗仿宋" w:eastAsia="彩虹粗仿宋" w:hint="eastAsia"/>
          <w:b/>
          <w:sz w:val="28"/>
          <w:szCs w:val="28"/>
        </w:rPr>
        <w:t>民商基金销售</w:t>
      </w:r>
      <w:r w:rsidR="00410AD6">
        <w:rPr>
          <w:rFonts w:ascii="彩虹粗仿宋" w:eastAsia="彩虹粗仿宋" w:hint="eastAsia"/>
          <w:b/>
          <w:sz w:val="28"/>
          <w:szCs w:val="28"/>
        </w:rPr>
        <w:t>（上海）有限公司</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客户服务热线：</w:t>
      </w:r>
      <w:r w:rsidR="004972EE">
        <w:rPr>
          <w:rFonts w:ascii="彩虹粗仿宋" w:eastAsia="彩虹粗仿宋" w:hint="eastAsia"/>
          <w:sz w:val="28"/>
          <w:szCs w:val="28"/>
        </w:rPr>
        <w:t>021-50</w:t>
      </w:r>
      <w:r w:rsidR="00410AD6">
        <w:rPr>
          <w:rFonts w:ascii="彩虹粗仿宋" w:eastAsia="彩虹粗仿宋" w:hint="eastAsia"/>
          <w:sz w:val="28"/>
          <w:szCs w:val="28"/>
        </w:rPr>
        <w:t>206003</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网址：</w:t>
      </w:r>
      <w:r w:rsidR="00415F1B" w:rsidRPr="00415F1B">
        <w:rPr>
          <w:rFonts w:ascii="彩虹粗仿宋" w:eastAsia="彩虹粗仿宋"/>
          <w:sz w:val="28"/>
          <w:szCs w:val="28"/>
        </w:rPr>
        <w:t>https://</w:t>
      </w:r>
      <w:r w:rsidR="004972EE" w:rsidRPr="004972EE">
        <w:t xml:space="preserve"> </w:t>
      </w:r>
      <w:r w:rsidR="004972EE" w:rsidRPr="004972EE">
        <w:rPr>
          <w:rFonts w:ascii="彩虹粗仿宋" w:eastAsia="彩虹粗仿宋"/>
          <w:sz w:val="28"/>
          <w:szCs w:val="28"/>
        </w:rPr>
        <w:t>www.</w:t>
      </w:r>
      <w:r w:rsidR="00410AD6">
        <w:rPr>
          <w:rFonts w:ascii="彩虹粗仿宋" w:eastAsia="彩虹粗仿宋" w:hint="eastAsia"/>
          <w:sz w:val="28"/>
          <w:szCs w:val="28"/>
        </w:rPr>
        <w:t>msftec.com</w:t>
      </w:r>
      <w:r w:rsidR="00415F1B" w:rsidRPr="00415F1B">
        <w:rPr>
          <w:rFonts w:ascii="彩虹粗仿宋" w:eastAsia="彩虹粗仿宋"/>
          <w:sz w:val="28"/>
          <w:szCs w:val="28"/>
        </w:rPr>
        <w:t>/</w:t>
      </w:r>
    </w:p>
    <w:p w:rsidR="0064698A" w:rsidRDefault="00B628A8">
      <w:pPr>
        <w:spacing w:line="360" w:lineRule="auto"/>
        <w:ind w:firstLine="420"/>
        <w:rPr>
          <w:rFonts w:ascii="彩虹粗仿宋" w:eastAsia="彩虹粗仿宋" w:hint="eastAsia"/>
          <w:b/>
          <w:sz w:val="28"/>
          <w:szCs w:val="28"/>
        </w:rPr>
      </w:pPr>
      <w:r>
        <w:rPr>
          <w:rFonts w:ascii="彩虹粗仿宋" w:eastAsia="彩虹粗仿宋" w:hint="eastAsia"/>
          <w:b/>
          <w:sz w:val="28"/>
          <w:szCs w:val="28"/>
        </w:rPr>
        <w:t>2</w:t>
      </w:r>
      <w:r w:rsidR="0064698A">
        <w:rPr>
          <w:rFonts w:ascii="彩虹粗仿宋" w:eastAsia="彩虹粗仿宋" w:hint="eastAsia"/>
          <w:b/>
          <w:sz w:val="28"/>
          <w:szCs w:val="28"/>
        </w:rPr>
        <w:t>、建信基金管理有限责任公司</w:t>
      </w:r>
    </w:p>
    <w:p w:rsidR="0064698A" w:rsidRDefault="0064698A">
      <w:pPr>
        <w:spacing w:line="360" w:lineRule="auto"/>
        <w:ind w:firstLine="420"/>
        <w:rPr>
          <w:rFonts w:ascii="彩虹粗仿宋" w:eastAsia="彩虹粗仿宋" w:hint="eastAsia"/>
          <w:sz w:val="28"/>
          <w:szCs w:val="28"/>
        </w:rPr>
      </w:pPr>
      <w:r>
        <w:rPr>
          <w:rFonts w:ascii="彩虹粗仿宋" w:eastAsia="彩虹粗仿宋" w:hint="eastAsia"/>
          <w:sz w:val="28"/>
          <w:szCs w:val="28"/>
        </w:rPr>
        <w:t>客户服务热线：400-81-95533（免长途通话费）</w:t>
      </w:r>
    </w:p>
    <w:p w:rsidR="0064698A" w:rsidRDefault="0064698A" w:rsidP="00B628A8">
      <w:pPr>
        <w:spacing w:line="360" w:lineRule="auto"/>
        <w:ind w:firstLine="420"/>
        <w:rPr>
          <w:rFonts w:ascii="彩虹粗仿宋" w:eastAsia="彩虹粗仿宋" w:hint="eastAsia"/>
          <w:sz w:val="28"/>
          <w:szCs w:val="28"/>
        </w:rPr>
      </w:pPr>
      <w:r>
        <w:rPr>
          <w:rFonts w:ascii="彩虹粗仿宋" w:eastAsia="彩虹粗仿宋" w:hint="eastAsia"/>
          <w:sz w:val="28"/>
          <w:szCs w:val="28"/>
        </w:rPr>
        <w:t>网址：http://</w:t>
      </w:r>
      <w:hyperlink r:id="rId6" w:history="1">
        <w:r>
          <w:rPr>
            <w:rFonts w:ascii="彩虹粗仿宋" w:eastAsia="彩虹粗仿宋" w:hint="eastAsia"/>
            <w:sz w:val="28"/>
            <w:szCs w:val="28"/>
          </w:rPr>
          <w:t>www.ccbfund.cn</w:t>
        </w:r>
      </w:hyperlink>
    </w:p>
    <w:p w:rsidR="0064698A" w:rsidRDefault="0064698A" w:rsidP="00B628A8">
      <w:pPr>
        <w:spacing w:line="360" w:lineRule="auto"/>
        <w:ind w:firstLine="420"/>
        <w:rPr>
          <w:rFonts w:ascii="彩虹粗仿宋" w:eastAsia="彩虹粗仿宋" w:hint="eastAsia"/>
          <w:sz w:val="28"/>
          <w:szCs w:val="28"/>
        </w:rPr>
      </w:pPr>
      <w:r>
        <w:rPr>
          <w:rFonts w:ascii="彩虹粗仿宋" w:eastAsia="彩虹粗仿宋" w:hint="eastAsia"/>
          <w:sz w:val="28"/>
          <w:szCs w:val="28"/>
        </w:rPr>
        <w:t>风险提示：本公司承诺以诚实信用、勤勉尽责的原则管理和运用基金资产,但不保证基金一定盈利，也不保证最低收益。投资者投资基金之前应认真阅读各基金的《基金合同》、《招募说明书》等文件。敬请投资者注意投资风险。</w:t>
      </w:r>
    </w:p>
    <w:p w:rsidR="0064698A" w:rsidRPr="00573F3B" w:rsidRDefault="0064698A" w:rsidP="00573F3B">
      <w:pPr>
        <w:spacing w:line="360" w:lineRule="auto"/>
        <w:ind w:firstLine="420"/>
        <w:rPr>
          <w:rFonts w:ascii="彩虹粗仿宋" w:eastAsia="彩虹粗仿宋" w:hint="eastAsia"/>
          <w:sz w:val="28"/>
          <w:szCs w:val="28"/>
        </w:rPr>
      </w:pPr>
      <w:r>
        <w:rPr>
          <w:rFonts w:ascii="彩虹粗仿宋" w:eastAsia="彩虹粗仿宋" w:hint="eastAsia"/>
          <w:sz w:val="28"/>
          <w:szCs w:val="28"/>
        </w:rPr>
        <w:t>特此公告。</w:t>
      </w:r>
    </w:p>
    <w:p w:rsidR="0064698A" w:rsidRDefault="0064698A">
      <w:pPr>
        <w:spacing w:line="360" w:lineRule="auto"/>
        <w:jc w:val="right"/>
        <w:rPr>
          <w:rFonts w:ascii="彩虹粗仿宋" w:eastAsia="彩虹粗仿宋" w:hint="eastAsia"/>
          <w:sz w:val="28"/>
          <w:szCs w:val="28"/>
        </w:rPr>
      </w:pPr>
      <w:r>
        <w:rPr>
          <w:rFonts w:ascii="彩虹粗仿宋" w:eastAsia="彩虹粗仿宋" w:hint="eastAsia"/>
          <w:sz w:val="28"/>
          <w:szCs w:val="28"/>
        </w:rPr>
        <w:t>建信基金管理有限责任公司</w:t>
      </w:r>
    </w:p>
    <w:p w:rsidR="0064698A" w:rsidRDefault="0064698A">
      <w:pPr>
        <w:spacing w:line="360" w:lineRule="auto"/>
        <w:ind w:firstLineChars="2100" w:firstLine="5880"/>
        <w:rPr>
          <w:rFonts w:ascii="彩虹粗仿宋" w:eastAsia="彩虹粗仿宋" w:hint="eastAsia"/>
          <w:sz w:val="28"/>
          <w:szCs w:val="28"/>
        </w:rPr>
      </w:pPr>
      <w:r>
        <w:rPr>
          <w:rFonts w:ascii="彩虹粗仿宋" w:eastAsia="彩虹粗仿宋" w:hint="eastAsia"/>
          <w:sz w:val="28"/>
          <w:szCs w:val="28"/>
        </w:rPr>
        <w:t>20</w:t>
      </w:r>
      <w:r w:rsidR="00C82EB1">
        <w:rPr>
          <w:rFonts w:ascii="彩虹粗仿宋" w:eastAsia="彩虹粗仿宋" w:hint="eastAsia"/>
          <w:sz w:val="28"/>
          <w:szCs w:val="28"/>
        </w:rPr>
        <w:t>20</w:t>
      </w:r>
      <w:r>
        <w:rPr>
          <w:rFonts w:ascii="彩虹粗仿宋" w:eastAsia="彩虹粗仿宋" w:hint="eastAsia"/>
          <w:sz w:val="28"/>
          <w:szCs w:val="28"/>
        </w:rPr>
        <w:t>年</w:t>
      </w:r>
      <w:r w:rsidR="006B6CE2">
        <w:rPr>
          <w:rFonts w:ascii="彩虹粗仿宋" w:eastAsia="彩虹粗仿宋" w:hint="eastAsia"/>
          <w:sz w:val="28"/>
          <w:szCs w:val="28"/>
        </w:rPr>
        <w:t>9</w:t>
      </w:r>
      <w:r>
        <w:rPr>
          <w:rFonts w:ascii="彩虹粗仿宋" w:eastAsia="彩虹粗仿宋" w:hint="eastAsia"/>
          <w:sz w:val="28"/>
          <w:szCs w:val="28"/>
        </w:rPr>
        <w:t>月</w:t>
      </w:r>
      <w:r w:rsidR="008B24C8">
        <w:rPr>
          <w:rFonts w:ascii="彩虹粗仿宋" w:eastAsia="彩虹粗仿宋" w:hint="eastAsia"/>
          <w:sz w:val="28"/>
          <w:szCs w:val="28"/>
        </w:rPr>
        <w:t>1</w:t>
      </w:r>
      <w:r w:rsidR="00B135D8">
        <w:rPr>
          <w:rFonts w:ascii="彩虹粗仿宋" w:eastAsia="彩虹粗仿宋" w:hint="eastAsia"/>
          <w:sz w:val="28"/>
          <w:szCs w:val="28"/>
        </w:rPr>
        <w:t>8</w:t>
      </w:r>
      <w:r>
        <w:rPr>
          <w:rFonts w:ascii="彩虹粗仿宋" w:eastAsia="彩虹粗仿宋" w:hint="eastAsia"/>
          <w:sz w:val="28"/>
          <w:szCs w:val="28"/>
        </w:rPr>
        <w:t>日</w:t>
      </w:r>
    </w:p>
    <w:sectPr w:rsidR="0064698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EDC" w:rsidRDefault="00E71EDC">
      <w:r>
        <w:separator/>
      </w:r>
    </w:p>
  </w:endnote>
  <w:endnote w:type="continuationSeparator" w:id="0">
    <w:p w:rsidR="00E71EDC" w:rsidRDefault="00E71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7" w:rsidRDefault="00332397">
    <w:pPr>
      <w:pStyle w:val="a4"/>
      <w:jc w:val="center"/>
    </w:pPr>
    <w:fldSimple w:instr=" PAGE   \* MERGEFORMAT ">
      <w:r w:rsidR="00EA6A7F" w:rsidRPr="00EA6A7F">
        <w:rPr>
          <w:noProof/>
          <w:lang w:val="zh-CN" w:eastAsia="zh-CN"/>
        </w:rPr>
        <w:t>1</w:t>
      </w:r>
    </w:fldSimple>
  </w:p>
  <w:p w:rsidR="00332397" w:rsidRDefault="003323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EDC" w:rsidRDefault="00E71EDC">
      <w:r>
        <w:separator/>
      </w:r>
    </w:p>
  </w:footnote>
  <w:footnote w:type="continuationSeparator" w:id="0">
    <w:p w:rsidR="00E71EDC" w:rsidRDefault="00E71E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3554"/>
    <w:rsid w:val="00006D6A"/>
    <w:rsid w:val="00010797"/>
    <w:rsid w:val="00011EC3"/>
    <w:rsid w:val="00022AA3"/>
    <w:rsid w:val="000317B0"/>
    <w:rsid w:val="00046B93"/>
    <w:rsid w:val="0005098B"/>
    <w:rsid w:val="000609D5"/>
    <w:rsid w:val="00063283"/>
    <w:rsid w:val="00066B22"/>
    <w:rsid w:val="00097854"/>
    <w:rsid w:val="000A04B6"/>
    <w:rsid w:val="000A3EDD"/>
    <w:rsid w:val="000A6D42"/>
    <w:rsid w:val="000B21D5"/>
    <w:rsid w:val="000B5B78"/>
    <w:rsid w:val="000B7784"/>
    <w:rsid w:val="000C6513"/>
    <w:rsid w:val="000E248A"/>
    <w:rsid w:val="000E7D31"/>
    <w:rsid w:val="000F6FAF"/>
    <w:rsid w:val="0010113D"/>
    <w:rsid w:val="00110AF3"/>
    <w:rsid w:val="0012150C"/>
    <w:rsid w:val="00137F4D"/>
    <w:rsid w:val="001435F9"/>
    <w:rsid w:val="00151E2B"/>
    <w:rsid w:val="00153F9C"/>
    <w:rsid w:val="00160212"/>
    <w:rsid w:val="00166127"/>
    <w:rsid w:val="00167489"/>
    <w:rsid w:val="001751AA"/>
    <w:rsid w:val="00181D65"/>
    <w:rsid w:val="00183D23"/>
    <w:rsid w:val="0018532F"/>
    <w:rsid w:val="00197253"/>
    <w:rsid w:val="001A3010"/>
    <w:rsid w:val="001B0113"/>
    <w:rsid w:val="001B5181"/>
    <w:rsid w:val="001D314B"/>
    <w:rsid w:val="001D4303"/>
    <w:rsid w:val="001E449F"/>
    <w:rsid w:val="001F118D"/>
    <w:rsid w:val="0020084D"/>
    <w:rsid w:val="00202C64"/>
    <w:rsid w:val="00207583"/>
    <w:rsid w:val="00212B70"/>
    <w:rsid w:val="00222CA4"/>
    <w:rsid w:val="00223F98"/>
    <w:rsid w:val="002272F6"/>
    <w:rsid w:val="00231071"/>
    <w:rsid w:val="0024061B"/>
    <w:rsid w:val="00243B5B"/>
    <w:rsid w:val="00250932"/>
    <w:rsid w:val="002569B9"/>
    <w:rsid w:val="0026078C"/>
    <w:rsid w:val="00280D7B"/>
    <w:rsid w:val="00286E74"/>
    <w:rsid w:val="002A5A9F"/>
    <w:rsid w:val="002C0085"/>
    <w:rsid w:val="002C2AA5"/>
    <w:rsid w:val="002C5807"/>
    <w:rsid w:val="002D1952"/>
    <w:rsid w:val="002E0287"/>
    <w:rsid w:val="002E0872"/>
    <w:rsid w:val="003002D2"/>
    <w:rsid w:val="00302A28"/>
    <w:rsid w:val="00310DF6"/>
    <w:rsid w:val="003144D6"/>
    <w:rsid w:val="00332397"/>
    <w:rsid w:val="00332773"/>
    <w:rsid w:val="00343161"/>
    <w:rsid w:val="00351401"/>
    <w:rsid w:val="003640F8"/>
    <w:rsid w:val="00375117"/>
    <w:rsid w:val="003758E1"/>
    <w:rsid w:val="003A53E8"/>
    <w:rsid w:val="003B1A75"/>
    <w:rsid w:val="003B7F8A"/>
    <w:rsid w:val="003D18BF"/>
    <w:rsid w:val="003D2AC1"/>
    <w:rsid w:val="003D2E5C"/>
    <w:rsid w:val="003E0E71"/>
    <w:rsid w:val="003F7690"/>
    <w:rsid w:val="00405A1D"/>
    <w:rsid w:val="00405FB7"/>
    <w:rsid w:val="00410AD6"/>
    <w:rsid w:val="00415F1B"/>
    <w:rsid w:val="004164AD"/>
    <w:rsid w:val="00423E8D"/>
    <w:rsid w:val="00433C7E"/>
    <w:rsid w:val="00434395"/>
    <w:rsid w:val="004349F2"/>
    <w:rsid w:val="00436B2A"/>
    <w:rsid w:val="00446EC9"/>
    <w:rsid w:val="0044790D"/>
    <w:rsid w:val="00457BC3"/>
    <w:rsid w:val="00461769"/>
    <w:rsid w:val="004714B5"/>
    <w:rsid w:val="00477FD7"/>
    <w:rsid w:val="00482C7E"/>
    <w:rsid w:val="004972EE"/>
    <w:rsid w:val="004A1B63"/>
    <w:rsid w:val="004A1FF4"/>
    <w:rsid w:val="004A5B5A"/>
    <w:rsid w:val="004F2DCF"/>
    <w:rsid w:val="004F4D3E"/>
    <w:rsid w:val="00500F53"/>
    <w:rsid w:val="00503331"/>
    <w:rsid w:val="0050431B"/>
    <w:rsid w:val="00510C06"/>
    <w:rsid w:val="005161FC"/>
    <w:rsid w:val="00521D9D"/>
    <w:rsid w:val="00530EB6"/>
    <w:rsid w:val="005334C7"/>
    <w:rsid w:val="00533781"/>
    <w:rsid w:val="00543E70"/>
    <w:rsid w:val="00550839"/>
    <w:rsid w:val="005630A6"/>
    <w:rsid w:val="005636E2"/>
    <w:rsid w:val="00572AF5"/>
    <w:rsid w:val="00573F3B"/>
    <w:rsid w:val="00575EC7"/>
    <w:rsid w:val="00584A2F"/>
    <w:rsid w:val="00590738"/>
    <w:rsid w:val="00595303"/>
    <w:rsid w:val="005A22FA"/>
    <w:rsid w:val="005B20D5"/>
    <w:rsid w:val="005C194B"/>
    <w:rsid w:val="005C251A"/>
    <w:rsid w:val="005D6820"/>
    <w:rsid w:val="005E32DD"/>
    <w:rsid w:val="0061627F"/>
    <w:rsid w:val="006166FA"/>
    <w:rsid w:val="0061707E"/>
    <w:rsid w:val="00630947"/>
    <w:rsid w:val="006321AD"/>
    <w:rsid w:val="006446A0"/>
    <w:rsid w:val="006462A6"/>
    <w:rsid w:val="0064698A"/>
    <w:rsid w:val="00647FDC"/>
    <w:rsid w:val="0065365B"/>
    <w:rsid w:val="00661C85"/>
    <w:rsid w:val="00663221"/>
    <w:rsid w:val="00666D43"/>
    <w:rsid w:val="00671C18"/>
    <w:rsid w:val="00672182"/>
    <w:rsid w:val="006765BF"/>
    <w:rsid w:val="006816C5"/>
    <w:rsid w:val="00681757"/>
    <w:rsid w:val="006A0CD2"/>
    <w:rsid w:val="006B07A1"/>
    <w:rsid w:val="006B6CE2"/>
    <w:rsid w:val="006D09E7"/>
    <w:rsid w:val="006D49DD"/>
    <w:rsid w:val="006D49F0"/>
    <w:rsid w:val="006D7185"/>
    <w:rsid w:val="006E4763"/>
    <w:rsid w:val="006F5F40"/>
    <w:rsid w:val="006F64A1"/>
    <w:rsid w:val="00701C5A"/>
    <w:rsid w:val="00712847"/>
    <w:rsid w:val="0071311E"/>
    <w:rsid w:val="00714175"/>
    <w:rsid w:val="00717C6E"/>
    <w:rsid w:val="007209E3"/>
    <w:rsid w:val="0072354E"/>
    <w:rsid w:val="0072590C"/>
    <w:rsid w:val="00726813"/>
    <w:rsid w:val="00761B40"/>
    <w:rsid w:val="00775E76"/>
    <w:rsid w:val="00785D5C"/>
    <w:rsid w:val="00790910"/>
    <w:rsid w:val="007A299A"/>
    <w:rsid w:val="007C0AF7"/>
    <w:rsid w:val="007C71EB"/>
    <w:rsid w:val="007E1852"/>
    <w:rsid w:val="00805D30"/>
    <w:rsid w:val="008159D5"/>
    <w:rsid w:val="00820634"/>
    <w:rsid w:val="00821B77"/>
    <w:rsid w:val="00833E62"/>
    <w:rsid w:val="008417C2"/>
    <w:rsid w:val="00841E4E"/>
    <w:rsid w:val="008442D4"/>
    <w:rsid w:val="00845E8A"/>
    <w:rsid w:val="00847E88"/>
    <w:rsid w:val="008511D6"/>
    <w:rsid w:val="0086037E"/>
    <w:rsid w:val="00862FF5"/>
    <w:rsid w:val="00871F8A"/>
    <w:rsid w:val="008765D5"/>
    <w:rsid w:val="00883EAB"/>
    <w:rsid w:val="00884409"/>
    <w:rsid w:val="00885E79"/>
    <w:rsid w:val="008A378A"/>
    <w:rsid w:val="008B24C8"/>
    <w:rsid w:val="008B7368"/>
    <w:rsid w:val="008D08C2"/>
    <w:rsid w:val="008D6BCE"/>
    <w:rsid w:val="008E3DCA"/>
    <w:rsid w:val="008F791D"/>
    <w:rsid w:val="00904E92"/>
    <w:rsid w:val="00906580"/>
    <w:rsid w:val="00906A7E"/>
    <w:rsid w:val="00911028"/>
    <w:rsid w:val="00922CAD"/>
    <w:rsid w:val="009375AD"/>
    <w:rsid w:val="00944059"/>
    <w:rsid w:val="00953733"/>
    <w:rsid w:val="009543FC"/>
    <w:rsid w:val="0095706E"/>
    <w:rsid w:val="00980316"/>
    <w:rsid w:val="00983928"/>
    <w:rsid w:val="00992AE2"/>
    <w:rsid w:val="009A12F9"/>
    <w:rsid w:val="009B1C13"/>
    <w:rsid w:val="009B3F9F"/>
    <w:rsid w:val="009B425A"/>
    <w:rsid w:val="009B701E"/>
    <w:rsid w:val="009C0D66"/>
    <w:rsid w:val="009D5372"/>
    <w:rsid w:val="009D555E"/>
    <w:rsid w:val="009E1A63"/>
    <w:rsid w:val="00A05224"/>
    <w:rsid w:val="00A0566D"/>
    <w:rsid w:val="00A07070"/>
    <w:rsid w:val="00A11324"/>
    <w:rsid w:val="00A11E79"/>
    <w:rsid w:val="00A20268"/>
    <w:rsid w:val="00A2510D"/>
    <w:rsid w:val="00A34033"/>
    <w:rsid w:val="00A35A8E"/>
    <w:rsid w:val="00A35F7F"/>
    <w:rsid w:val="00A41729"/>
    <w:rsid w:val="00A46559"/>
    <w:rsid w:val="00A52F7F"/>
    <w:rsid w:val="00A64D01"/>
    <w:rsid w:val="00A73554"/>
    <w:rsid w:val="00A75082"/>
    <w:rsid w:val="00A86EF8"/>
    <w:rsid w:val="00A86FF7"/>
    <w:rsid w:val="00AA04A0"/>
    <w:rsid w:val="00AA4719"/>
    <w:rsid w:val="00AA5980"/>
    <w:rsid w:val="00AC0BEF"/>
    <w:rsid w:val="00AC2108"/>
    <w:rsid w:val="00AC7214"/>
    <w:rsid w:val="00AF29E1"/>
    <w:rsid w:val="00AF34AF"/>
    <w:rsid w:val="00AF4143"/>
    <w:rsid w:val="00B001AA"/>
    <w:rsid w:val="00B07116"/>
    <w:rsid w:val="00B07DC2"/>
    <w:rsid w:val="00B135D8"/>
    <w:rsid w:val="00B139BD"/>
    <w:rsid w:val="00B16DC0"/>
    <w:rsid w:val="00B2658E"/>
    <w:rsid w:val="00B53994"/>
    <w:rsid w:val="00B628A8"/>
    <w:rsid w:val="00B63E09"/>
    <w:rsid w:val="00B707B4"/>
    <w:rsid w:val="00B70CD3"/>
    <w:rsid w:val="00B7274C"/>
    <w:rsid w:val="00B73763"/>
    <w:rsid w:val="00B844F4"/>
    <w:rsid w:val="00B86017"/>
    <w:rsid w:val="00B90753"/>
    <w:rsid w:val="00B908DD"/>
    <w:rsid w:val="00B941C4"/>
    <w:rsid w:val="00BA4A29"/>
    <w:rsid w:val="00BB3046"/>
    <w:rsid w:val="00BC3D02"/>
    <w:rsid w:val="00BD3842"/>
    <w:rsid w:val="00BE64DE"/>
    <w:rsid w:val="00BF1BAB"/>
    <w:rsid w:val="00BF4826"/>
    <w:rsid w:val="00BF7BED"/>
    <w:rsid w:val="00C01959"/>
    <w:rsid w:val="00C0540C"/>
    <w:rsid w:val="00C13E7D"/>
    <w:rsid w:val="00C1602E"/>
    <w:rsid w:val="00C17FE4"/>
    <w:rsid w:val="00C207F6"/>
    <w:rsid w:val="00C21C70"/>
    <w:rsid w:val="00C62603"/>
    <w:rsid w:val="00C62E81"/>
    <w:rsid w:val="00C651D1"/>
    <w:rsid w:val="00C67CE2"/>
    <w:rsid w:val="00C72EDB"/>
    <w:rsid w:val="00C803A2"/>
    <w:rsid w:val="00C82410"/>
    <w:rsid w:val="00C82EB1"/>
    <w:rsid w:val="00C8774C"/>
    <w:rsid w:val="00C92EEE"/>
    <w:rsid w:val="00C9531E"/>
    <w:rsid w:val="00CB20AF"/>
    <w:rsid w:val="00CD372C"/>
    <w:rsid w:val="00CD7CD9"/>
    <w:rsid w:val="00CF60A3"/>
    <w:rsid w:val="00CF6DE9"/>
    <w:rsid w:val="00D023E1"/>
    <w:rsid w:val="00D05FB3"/>
    <w:rsid w:val="00D0754E"/>
    <w:rsid w:val="00D15CD7"/>
    <w:rsid w:val="00D24901"/>
    <w:rsid w:val="00D25F71"/>
    <w:rsid w:val="00D27917"/>
    <w:rsid w:val="00D50A3C"/>
    <w:rsid w:val="00D56BB2"/>
    <w:rsid w:val="00D603F5"/>
    <w:rsid w:val="00D635B4"/>
    <w:rsid w:val="00D63BDF"/>
    <w:rsid w:val="00D70322"/>
    <w:rsid w:val="00D72914"/>
    <w:rsid w:val="00D9189E"/>
    <w:rsid w:val="00DA08CB"/>
    <w:rsid w:val="00DB6465"/>
    <w:rsid w:val="00DC4553"/>
    <w:rsid w:val="00DD6D3F"/>
    <w:rsid w:val="00DE2330"/>
    <w:rsid w:val="00DF0116"/>
    <w:rsid w:val="00DF1058"/>
    <w:rsid w:val="00DF5CE5"/>
    <w:rsid w:val="00DF5F33"/>
    <w:rsid w:val="00E02AC6"/>
    <w:rsid w:val="00E05501"/>
    <w:rsid w:val="00E30699"/>
    <w:rsid w:val="00E442F0"/>
    <w:rsid w:val="00E46CE9"/>
    <w:rsid w:val="00E611DD"/>
    <w:rsid w:val="00E6557B"/>
    <w:rsid w:val="00E71EDC"/>
    <w:rsid w:val="00E7226E"/>
    <w:rsid w:val="00E842EB"/>
    <w:rsid w:val="00E8472C"/>
    <w:rsid w:val="00E93DF4"/>
    <w:rsid w:val="00E95DA8"/>
    <w:rsid w:val="00EA1E8C"/>
    <w:rsid w:val="00EA6A7F"/>
    <w:rsid w:val="00EB1F3D"/>
    <w:rsid w:val="00EB4AC5"/>
    <w:rsid w:val="00EC0BA4"/>
    <w:rsid w:val="00EE2DF0"/>
    <w:rsid w:val="00EE7B13"/>
    <w:rsid w:val="00EF696C"/>
    <w:rsid w:val="00F047AD"/>
    <w:rsid w:val="00F11DCB"/>
    <w:rsid w:val="00F204D4"/>
    <w:rsid w:val="00F25E0A"/>
    <w:rsid w:val="00F261BB"/>
    <w:rsid w:val="00F40F57"/>
    <w:rsid w:val="00F41A04"/>
    <w:rsid w:val="00F446ED"/>
    <w:rsid w:val="00F452B1"/>
    <w:rsid w:val="00F53AF3"/>
    <w:rsid w:val="00F55BAD"/>
    <w:rsid w:val="00F6125E"/>
    <w:rsid w:val="00F66ECA"/>
    <w:rsid w:val="00F6782C"/>
    <w:rsid w:val="00F84498"/>
    <w:rsid w:val="00F90B68"/>
    <w:rsid w:val="00F96924"/>
    <w:rsid w:val="00FB4786"/>
    <w:rsid w:val="00FC6C51"/>
    <w:rsid w:val="00FD5FEA"/>
    <w:rsid w:val="00FD749D"/>
    <w:rsid w:val="00FF722F"/>
    <w:rsid w:val="2E6658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uiPriority w:val="99"/>
    <w:rPr>
      <w:kern w:val="2"/>
      <w:sz w:val="18"/>
      <w:szCs w:val="18"/>
    </w:rPr>
  </w:style>
  <w:style w:type="character" w:styleId="a5">
    <w:name w:val="Hyperlink"/>
    <w:uiPriority w:val="99"/>
    <w:unhideWhenUsed/>
    <w:rPr>
      <w:color w:val="0000FF"/>
      <w:u w:val="single"/>
    </w:rPr>
  </w:style>
  <w:style w:type="character" w:customStyle="1" w:styleId="Char1">
    <w:name w:val="页眉 Char"/>
    <w:link w:val="a6"/>
    <w:rPr>
      <w:kern w:val="2"/>
      <w:sz w:val="18"/>
      <w:szCs w:val="18"/>
    </w:rPr>
  </w:style>
  <w:style w:type="character" w:customStyle="1" w:styleId="Char2">
    <w:name w:val="批注文字 Char"/>
    <w:link w:val="a7"/>
    <w:rPr>
      <w:kern w:val="2"/>
      <w:sz w:val="21"/>
      <w:szCs w:val="24"/>
    </w:rPr>
  </w:style>
  <w:style w:type="character" w:styleId="a8">
    <w:name w:val="annotation reference"/>
    <w:rPr>
      <w:sz w:val="21"/>
      <w:szCs w:val="21"/>
    </w:rPr>
  </w:style>
  <w:style w:type="character" w:customStyle="1" w:styleId="Char3">
    <w:name w:val="批注主题 Char"/>
    <w:link w:val="a9"/>
    <w:rPr>
      <w:b/>
      <w:bCs/>
      <w:kern w:val="2"/>
      <w:sz w:val="21"/>
      <w:szCs w:val="24"/>
    </w:rPr>
  </w:style>
  <w:style w:type="paragraph" w:styleId="a9">
    <w:name w:val="annotation subject"/>
    <w:basedOn w:val="a7"/>
    <w:next w:val="a7"/>
    <w:link w:val="Char3"/>
    <w:rPr>
      <w:b/>
      <w:bCs/>
    </w:rPr>
  </w:style>
  <w:style w:type="paragraph" w:styleId="aa">
    <w:name w:val="Revision"/>
    <w:uiPriority w:val="99"/>
    <w:semiHidden/>
    <w:rPr>
      <w:kern w:val="2"/>
      <w:sz w:val="21"/>
      <w:szCs w:val="24"/>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7">
    <w:name w:val="annotation text"/>
    <w:basedOn w:val="a"/>
    <w:link w:val="Char2"/>
    <w:pPr>
      <w:jc w:val="left"/>
    </w:pPr>
  </w:style>
</w:styles>
</file>

<file path=word/webSettings.xml><?xml version="1.0" encoding="utf-8"?>
<w:webSettings xmlns:r="http://schemas.openxmlformats.org/officeDocument/2006/relationships" xmlns:w="http://schemas.openxmlformats.org/wordprocessingml/2006/main">
  <w:divs>
    <w:div w:id="169368799">
      <w:bodyDiv w:val="1"/>
      <w:marLeft w:val="0"/>
      <w:marRight w:val="0"/>
      <w:marTop w:val="0"/>
      <w:marBottom w:val="0"/>
      <w:divBdr>
        <w:top w:val="none" w:sz="0" w:space="0" w:color="auto"/>
        <w:left w:val="none" w:sz="0" w:space="0" w:color="auto"/>
        <w:bottom w:val="none" w:sz="0" w:space="0" w:color="auto"/>
        <w:right w:val="none" w:sz="0" w:space="0" w:color="auto"/>
      </w:divBdr>
    </w:div>
    <w:div w:id="745804799">
      <w:bodyDiv w:val="1"/>
      <w:marLeft w:val="0"/>
      <w:marRight w:val="0"/>
      <w:marTop w:val="0"/>
      <w:marBottom w:val="0"/>
      <w:divBdr>
        <w:top w:val="none" w:sz="0" w:space="0" w:color="auto"/>
        <w:left w:val="none" w:sz="0" w:space="0" w:color="auto"/>
        <w:bottom w:val="none" w:sz="0" w:space="0" w:color="auto"/>
        <w:right w:val="none" w:sz="0" w:space="0" w:color="auto"/>
      </w:divBdr>
      <w:divsChild>
        <w:div w:id="580988605">
          <w:marLeft w:val="0"/>
          <w:marRight w:val="0"/>
          <w:marTop w:val="0"/>
          <w:marBottom w:val="0"/>
          <w:divBdr>
            <w:top w:val="none" w:sz="0" w:space="0" w:color="auto"/>
            <w:left w:val="none" w:sz="0" w:space="0" w:color="auto"/>
            <w:bottom w:val="none" w:sz="0" w:space="0" w:color="auto"/>
            <w:right w:val="none" w:sz="0" w:space="0" w:color="auto"/>
          </w:divBdr>
          <w:divsChild>
            <w:div w:id="1320697941">
              <w:marLeft w:val="0"/>
              <w:marRight w:val="0"/>
              <w:marTop w:val="0"/>
              <w:marBottom w:val="0"/>
              <w:divBdr>
                <w:top w:val="single" w:sz="2" w:space="0" w:color="DCDCDC"/>
                <w:left w:val="single" w:sz="6" w:space="0" w:color="DCDCDC"/>
                <w:bottom w:val="single" w:sz="6" w:space="11" w:color="DCDCDC"/>
                <w:right w:val="single" w:sz="6" w:space="0" w:color="DCDCDC"/>
              </w:divBdr>
              <w:divsChild>
                <w:div w:id="15304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60689">
      <w:bodyDiv w:val="1"/>
      <w:marLeft w:val="0"/>
      <w:marRight w:val="0"/>
      <w:marTop w:val="0"/>
      <w:marBottom w:val="0"/>
      <w:divBdr>
        <w:top w:val="none" w:sz="0" w:space="0" w:color="auto"/>
        <w:left w:val="none" w:sz="0" w:space="0" w:color="auto"/>
        <w:bottom w:val="none" w:sz="0" w:space="0" w:color="auto"/>
        <w:right w:val="none" w:sz="0" w:space="0" w:color="auto"/>
      </w:divBdr>
    </w:div>
    <w:div w:id="963926687">
      <w:bodyDiv w:val="1"/>
      <w:marLeft w:val="0"/>
      <w:marRight w:val="0"/>
      <w:marTop w:val="0"/>
      <w:marBottom w:val="0"/>
      <w:divBdr>
        <w:top w:val="none" w:sz="0" w:space="0" w:color="auto"/>
        <w:left w:val="none" w:sz="0" w:space="0" w:color="auto"/>
        <w:bottom w:val="none" w:sz="0" w:space="0" w:color="auto"/>
        <w:right w:val="none" w:sz="0" w:space="0" w:color="auto"/>
      </w:divBdr>
    </w:div>
    <w:div w:id="1333141475">
      <w:bodyDiv w:val="1"/>
      <w:marLeft w:val="0"/>
      <w:marRight w:val="0"/>
      <w:marTop w:val="0"/>
      <w:marBottom w:val="0"/>
      <w:divBdr>
        <w:top w:val="none" w:sz="0" w:space="0" w:color="auto"/>
        <w:left w:val="none" w:sz="0" w:space="0" w:color="auto"/>
        <w:bottom w:val="none" w:sz="0" w:space="0" w:color="auto"/>
        <w:right w:val="none" w:sz="0" w:space="0" w:color="auto"/>
      </w:divBdr>
    </w:div>
    <w:div w:id="1737631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6425">
          <w:marLeft w:val="0"/>
          <w:marRight w:val="0"/>
          <w:marTop w:val="0"/>
          <w:marBottom w:val="0"/>
          <w:divBdr>
            <w:top w:val="none" w:sz="0" w:space="0" w:color="auto"/>
            <w:left w:val="none" w:sz="0" w:space="0" w:color="auto"/>
            <w:bottom w:val="none" w:sz="0" w:space="0" w:color="auto"/>
            <w:right w:val="none" w:sz="0" w:space="0" w:color="auto"/>
          </w:divBdr>
          <w:divsChild>
            <w:div w:id="1478301810">
              <w:marLeft w:val="0"/>
              <w:marRight w:val="0"/>
              <w:marTop w:val="0"/>
              <w:marBottom w:val="0"/>
              <w:divBdr>
                <w:top w:val="single" w:sz="2" w:space="0" w:color="DCDCDC"/>
                <w:left w:val="single" w:sz="6" w:space="0" w:color="DCDCDC"/>
                <w:bottom w:val="single" w:sz="6" w:space="11" w:color="DCDCDC"/>
                <w:right w:val="single" w:sz="6" w:space="0" w:color="DCDCDC"/>
              </w:divBdr>
              <w:divsChild>
                <w:div w:id="15315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bfund.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5903</Characters>
  <Application>Microsoft Office Word</Application>
  <DocSecurity>4</DocSecurity>
  <Lines>49</Lines>
  <Paragraphs>13</Paragraphs>
  <ScaleCrop>false</ScaleCrop>
  <Company/>
  <LinksUpToDate>false</LinksUpToDate>
  <CharactersWithSpaces>6925</CharactersWithSpaces>
  <SharedDoc>false</SharedDoc>
  <HLinks>
    <vt:vector size="6" baseType="variant">
      <vt:variant>
        <vt:i4>7798907</vt:i4>
      </vt:variant>
      <vt:variant>
        <vt:i4>0</vt:i4>
      </vt:variant>
      <vt:variant>
        <vt:i4>0</vt:i4>
      </vt:variant>
      <vt:variant>
        <vt:i4>5</vt:i4>
      </vt:variant>
      <vt:variant>
        <vt:lpwstr>http://www.ccbfund.cn/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建信基金管理有限责任公司关于新增上海天天基金为旗下代销机构并参加基金申购费率优惠活动的公告</dc:title>
  <dc:subject/>
  <dc:creator>王冠</dc:creator>
  <cp:keywords/>
  <cp:lastModifiedBy>ZHONGM</cp:lastModifiedBy>
  <cp:revision>2</cp:revision>
  <cp:lastPrinted>2020-09-15T03:04:00Z</cp:lastPrinted>
  <dcterms:created xsi:type="dcterms:W3CDTF">2020-09-17T16:01:00Z</dcterms:created>
  <dcterms:modified xsi:type="dcterms:W3CDTF">2020-09-17T16:01:00Z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