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E8" w:rsidRDefault="00BD0199" w:rsidP="007B7CE4">
      <w:pPr>
        <w:widowControl/>
        <w:spacing w:line="360" w:lineRule="auto"/>
        <w:jc w:val="center"/>
        <w:rPr>
          <w:rFonts w:ascii="宋体" w:hAnsi="宋体" w:cs="宋体"/>
          <w:kern w:val="0"/>
          <w:sz w:val="28"/>
          <w:szCs w:val="28"/>
        </w:rPr>
      </w:pPr>
      <w:r w:rsidRPr="006C1507">
        <w:rPr>
          <w:rFonts w:ascii="宋体" w:hAnsi="宋体" w:cs="宋体" w:hint="eastAsia"/>
          <w:kern w:val="0"/>
          <w:sz w:val="28"/>
          <w:szCs w:val="28"/>
        </w:rPr>
        <w:t>工银瑞信基金管理有限公司关于旗下基金</w:t>
      </w:r>
    </w:p>
    <w:p w:rsidR="00BD0199" w:rsidRPr="00E26272" w:rsidRDefault="00C313C5" w:rsidP="00E26272">
      <w:pPr>
        <w:widowControl/>
        <w:spacing w:line="360" w:lineRule="auto"/>
        <w:jc w:val="center"/>
        <w:rPr>
          <w:rFonts w:ascii="宋体" w:hAnsi="宋体" w:cs="宋体"/>
          <w:kern w:val="0"/>
          <w:sz w:val="28"/>
          <w:szCs w:val="28"/>
        </w:rPr>
      </w:pPr>
      <w:r>
        <w:rPr>
          <w:rFonts w:ascii="宋体" w:hAnsi="宋体" w:cs="宋体" w:hint="eastAsia"/>
          <w:kern w:val="0"/>
          <w:sz w:val="28"/>
          <w:szCs w:val="28"/>
        </w:rPr>
        <w:t>投资</w:t>
      </w:r>
      <w:r w:rsidR="00091A9D">
        <w:rPr>
          <w:rFonts w:ascii="宋体" w:hAnsi="宋体" w:cs="宋体" w:hint="eastAsia"/>
          <w:kern w:val="0"/>
          <w:sz w:val="28"/>
          <w:szCs w:val="28"/>
        </w:rPr>
        <w:t>凯普生物</w:t>
      </w:r>
      <w:r w:rsidR="00BD0199" w:rsidRPr="000B01E1">
        <w:rPr>
          <w:rFonts w:ascii="宋体" w:hAnsi="宋体" w:cs="宋体" w:hint="eastAsia"/>
          <w:kern w:val="0"/>
          <w:sz w:val="28"/>
          <w:szCs w:val="28"/>
        </w:rPr>
        <w:t>非公开发</w:t>
      </w:r>
      <w:r w:rsidR="00BD0199" w:rsidRPr="006C1507">
        <w:rPr>
          <w:rFonts w:ascii="宋体" w:hAnsi="宋体" w:cs="宋体" w:hint="eastAsia"/>
          <w:kern w:val="0"/>
          <w:sz w:val="28"/>
          <w:szCs w:val="28"/>
        </w:rPr>
        <w:t>行股票的公告</w:t>
      </w:r>
    </w:p>
    <w:p w:rsidR="00E26272" w:rsidRPr="00E26272" w:rsidRDefault="00BD0199" w:rsidP="002454D0">
      <w:pPr>
        <w:tabs>
          <w:tab w:val="left" w:pos="630"/>
          <w:tab w:val="left" w:pos="735"/>
        </w:tabs>
        <w:spacing w:beforeLines="50" w:afterLines="50" w:line="360" w:lineRule="auto"/>
        <w:ind w:firstLineChars="200" w:firstLine="480"/>
        <w:jc w:val="left"/>
        <w:rPr>
          <w:rFonts w:ascii="宋体" w:hAnsi="宋体" w:cs="宋体"/>
          <w:kern w:val="0"/>
          <w:sz w:val="24"/>
          <w:szCs w:val="24"/>
        </w:rPr>
      </w:pPr>
      <w:r w:rsidRPr="009F69CE">
        <w:rPr>
          <w:rFonts w:ascii="宋体" w:hAnsi="宋体" w:cs="宋体" w:hint="eastAsia"/>
          <w:kern w:val="0"/>
          <w:sz w:val="24"/>
          <w:szCs w:val="24"/>
        </w:rPr>
        <w:t>工银瑞信基金管理有限公司（以下简称</w:t>
      </w:r>
      <w:r w:rsidRPr="000B01E1">
        <w:rPr>
          <w:rFonts w:ascii="宋体" w:hAnsi="宋体" w:cs="宋体" w:hint="eastAsia"/>
          <w:kern w:val="0"/>
          <w:sz w:val="24"/>
          <w:szCs w:val="24"/>
        </w:rPr>
        <w:t>“</w:t>
      </w:r>
      <w:r w:rsidRPr="009F69CE">
        <w:rPr>
          <w:rFonts w:ascii="宋体" w:hAnsi="宋体" w:cs="宋体" w:hint="eastAsia"/>
          <w:kern w:val="0"/>
          <w:sz w:val="24"/>
          <w:szCs w:val="24"/>
        </w:rPr>
        <w:t>本公司</w:t>
      </w:r>
      <w:r w:rsidRPr="000B01E1">
        <w:rPr>
          <w:rFonts w:ascii="宋体" w:hAnsi="宋体" w:cs="宋体" w:hint="eastAsia"/>
          <w:kern w:val="0"/>
          <w:sz w:val="24"/>
          <w:szCs w:val="24"/>
        </w:rPr>
        <w:t>”</w:t>
      </w:r>
      <w:r w:rsidRPr="009F69CE">
        <w:rPr>
          <w:rFonts w:ascii="宋体" w:hAnsi="宋体" w:cs="宋体" w:hint="eastAsia"/>
          <w:kern w:val="0"/>
          <w:sz w:val="24"/>
          <w:szCs w:val="24"/>
        </w:rPr>
        <w:t>）旗下</w:t>
      </w:r>
      <w:r w:rsidR="00C313C5">
        <w:rPr>
          <w:rFonts w:ascii="宋体" w:hAnsi="宋体" w:cs="宋体" w:hint="eastAsia"/>
          <w:kern w:val="0"/>
          <w:sz w:val="24"/>
          <w:szCs w:val="24"/>
        </w:rPr>
        <w:t>基金</w:t>
      </w:r>
      <w:r w:rsidRPr="009F69CE">
        <w:rPr>
          <w:rFonts w:ascii="宋体" w:hAnsi="宋体" w:cs="宋体" w:hint="eastAsia"/>
          <w:kern w:val="0"/>
          <w:sz w:val="24"/>
          <w:szCs w:val="24"/>
        </w:rPr>
        <w:t>参加了</w:t>
      </w:r>
      <w:r w:rsidR="00091A9D" w:rsidRPr="00091A9D">
        <w:rPr>
          <w:rFonts w:ascii="宋体" w:hAnsi="宋体" w:cs="宋体" w:hint="eastAsia"/>
          <w:kern w:val="0"/>
          <w:sz w:val="24"/>
          <w:szCs w:val="24"/>
        </w:rPr>
        <w:t>广东凯普生物科技股份有限公司</w:t>
      </w:r>
      <w:r w:rsidR="00C313C5">
        <w:rPr>
          <w:rFonts w:ascii="宋体" w:hAnsi="宋体" w:cs="宋体" w:hint="eastAsia"/>
          <w:kern w:val="0"/>
          <w:sz w:val="24"/>
          <w:szCs w:val="24"/>
        </w:rPr>
        <w:t>（</w:t>
      </w:r>
      <w:r w:rsidR="00091A9D">
        <w:rPr>
          <w:rFonts w:ascii="宋体" w:hAnsi="宋体" w:cs="宋体" w:hint="eastAsia"/>
          <w:kern w:val="0"/>
          <w:sz w:val="24"/>
          <w:szCs w:val="24"/>
        </w:rPr>
        <w:t>凯普生物</w:t>
      </w:r>
      <w:r w:rsidR="00C313C5">
        <w:rPr>
          <w:rFonts w:ascii="宋体" w:hAnsi="宋体" w:cs="宋体" w:hint="eastAsia"/>
          <w:kern w:val="0"/>
          <w:sz w:val="24"/>
          <w:szCs w:val="24"/>
        </w:rPr>
        <w:t>，代码</w:t>
      </w:r>
      <w:r w:rsidR="00091A9D">
        <w:rPr>
          <w:rFonts w:ascii="宋体" w:hAnsi="宋体" w:cs="宋体"/>
          <w:kern w:val="0"/>
          <w:sz w:val="24"/>
          <w:szCs w:val="24"/>
        </w:rPr>
        <w:t>300639</w:t>
      </w:r>
      <w:r w:rsidRPr="009F69CE">
        <w:rPr>
          <w:rFonts w:ascii="宋体" w:hAnsi="宋体" w:cs="宋体"/>
          <w:kern w:val="0"/>
          <w:sz w:val="24"/>
          <w:szCs w:val="24"/>
        </w:rPr>
        <w:t>)</w:t>
      </w:r>
      <w:r w:rsidRPr="009F69CE">
        <w:rPr>
          <w:rFonts w:ascii="宋体" w:hAnsi="宋体" w:cs="宋体" w:hint="eastAsia"/>
          <w:kern w:val="0"/>
          <w:sz w:val="24"/>
          <w:szCs w:val="24"/>
        </w:rPr>
        <w:t>非公开发行股票的认购。根据中国证监会《关于基金投资非公开发行股票等流通受限证券有关问题的通知》等有关规定，本公司现将</w:t>
      </w:r>
      <w:r w:rsidR="00C313C5">
        <w:rPr>
          <w:rFonts w:ascii="宋体" w:hAnsi="宋体" w:cs="宋体" w:hint="eastAsia"/>
          <w:kern w:val="0"/>
          <w:sz w:val="24"/>
          <w:szCs w:val="24"/>
        </w:rPr>
        <w:t>旗下基金</w:t>
      </w:r>
      <w:r w:rsidRPr="009F69CE">
        <w:rPr>
          <w:rFonts w:ascii="宋体" w:hAnsi="宋体" w:cs="宋体" w:hint="eastAsia"/>
          <w:kern w:val="0"/>
          <w:sz w:val="24"/>
          <w:szCs w:val="24"/>
        </w:rPr>
        <w:t>投资</w:t>
      </w:r>
      <w:r w:rsidR="00091A9D" w:rsidRPr="00091A9D">
        <w:rPr>
          <w:rFonts w:ascii="宋体" w:hAnsi="宋体" w:cs="宋体" w:hint="eastAsia"/>
          <w:kern w:val="0"/>
          <w:sz w:val="24"/>
          <w:szCs w:val="24"/>
        </w:rPr>
        <w:t>广东凯普生物科技股份有限公司</w:t>
      </w:r>
      <w:r w:rsidRPr="009F69CE">
        <w:rPr>
          <w:rFonts w:ascii="宋体" w:hAnsi="宋体" w:cs="宋体" w:hint="eastAsia"/>
          <w:kern w:val="0"/>
          <w:sz w:val="24"/>
          <w:szCs w:val="24"/>
        </w:rPr>
        <w:t>非公开发行股票的情况披露如下：</w:t>
      </w:r>
      <w:r w:rsidRPr="009F69CE">
        <w:rPr>
          <w:rFonts w:ascii="宋体" w:hAnsi="宋体" w:cs="宋体"/>
          <w:kern w:val="0"/>
          <w:sz w:val="24"/>
          <w:szCs w:val="24"/>
        </w:rPr>
        <w:t xml:space="preserve"> </w:t>
      </w:r>
    </w:p>
    <w:tbl>
      <w:tblPr>
        <w:tblStyle w:val="a9"/>
        <w:tblW w:w="10632" w:type="dxa"/>
        <w:tblInd w:w="-147" w:type="dxa"/>
        <w:tblLook w:val="04A0"/>
      </w:tblPr>
      <w:tblGrid>
        <w:gridCol w:w="2621"/>
        <w:gridCol w:w="1359"/>
        <w:gridCol w:w="1838"/>
        <w:gridCol w:w="1029"/>
        <w:gridCol w:w="1776"/>
        <w:gridCol w:w="1059"/>
        <w:gridCol w:w="950"/>
      </w:tblGrid>
      <w:tr w:rsidR="003174D2" w:rsidRPr="003174D2" w:rsidTr="00F2556B">
        <w:trPr>
          <w:trHeight w:val="810"/>
        </w:trPr>
        <w:tc>
          <w:tcPr>
            <w:tcW w:w="2621"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基金名称</w:t>
            </w:r>
          </w:p>
        </w:tc>
        <w:tc>
          <w:tcPr>
            <w:tcW w:w="1359"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认购数量（股）</w:t>
            </w:r>
          </w:p>
        </w:tc>
        <w:tc>
          <w:tcPr>
            <w:tcW w:w="1838"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总成本（元）</w:t>
            </w:r>
          </w:p>
        </w:tc>
        <w:tc>
          <w:tcPr>
            <w:tcW w:w="1029"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总成本占基金资产净值比例</w:t>
            </w:r>
          </w:p>
        </w:tc>
        <w:tc>
          <w:tcPr>
            <w:tcW w:w="1776"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账面价值（元）</w:t>
            </w:r>
          </w:p>
        </w:tc>
        <w:tc>
          <w:tcPr>
            <w:tcW w:w="1059"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账面价值占基金资产净值比例</w:t>
            </w:r>
          </w:p>
        </w:tc>
        <w:tc>
          <w:tcPr>
            <w:tcW w:w="95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限售期</w:t>
            </w:r>
          </w:p>
        </w:tc>
      </w:tr>
      <w:tr w:rsidR="00A42717" w:rsidRPr="003174D2" w:rsidTr="00F2556B">
        <w:trPr>
          <w:trHeight w:val="270"/>
        </w:trPr>
        <w:tc>
          <w:tcPr>
            <w:tcW w:w="2621" w:type="dxa"/>
            <w:hideMark/>
          </w:tcPr>
          <w:p w:rsidR="00A42717" w:rsidRPr="00A42717" w:rsidRDefault="00A42717" w:rsidP="00A42717">
            <w:pPr>
              <w:widowControl/>
              <w:jc w:val="left"/>
              <w:rPr>
                <w:rFonts w:ascii="宋体"/>
                <w:color w:val="000000"/>
                <w:kern w:val="0"/>
                <w:sz w:val="24"/>
                <w:szCs w:val="24"/>
              </w:rPr>
            </w:pPr>
            <w:r w:rsidRPr="00A42717">
              <w:rPr>
                <w:rFonts w:ascii="宋体" w:hint="eastAsia"/>
                <w:color w:val="000000"/>
                <w:kern w:val="0"/>
                <w:sz w:val="24"/>
                <w:szCs w:val="24"/>
              </w:rPr>
              <w:t>工银瑞信医药健康行业股票型证券投资基金</w:t>
            </w:r>
          </w:p>
        </w:tc>
        <w:tc>
          <w:tcPr>
            <w:tcW w:w="1359" w:type="dxa"/>
            <w:hideMark/>
          </w:tcPr>
          <w:p w:rsidR="00A42717" w:rsidRPr="00A42717" w:rsidRDefault="00A42717" w:rsidP="00F2556B">
            <w:pPr>
              <w:widowControl/>
              <w:jc w:val="right"/>
              <w:rPr>
                <w:rFonts w:ascii="宋体"/>
                <w:color w:val="000000"/>
                <w:kern w:val="0"/>
                <w:sz w:val="24"/>
                <w:szCs w:val="24"/>
              </w:rPr>
            </w:pPr>
            <w:r w:rsidRPr="00A42717">
              <w:rPr>
                <w:rFonts w:ascii="宋体" w:hint="eastAsia"/>
                <w:color w:val="000000"/>
                <w:kern w:val="0"/>
                <w:sz w:val="24"/>
                <w:szCs w:val="24"/>
              </w:rPr>
              <w:t>546,330</w:t>
            </w:r>
          </w:p>
        </w:tc>
        <w:tc>
          <w:tcPr>
            <w:tcW w:w="1838" w:type="dxa"/>
            <w:hideMark/>
          </w:tcPr>
          <w:p w:rsidR="00A42717" w:rsidRPr="00A42717" w:rsidRDefault="007A64B1" w:rsidP="00F2556B">
            <w:pPr>
              <w:widowControl/>
              <w:jc w:val="right"/>
              <w:rPr>
                <w:rFonts w:ascii="宋体"/>
                <w:color w:val="000000"/>
                <w:kern w:val="0"/>
                <w:sz w:val="24"/>
                <w:szCs w:val="24"/>
              </w:rPr>
            </w:pPr>
            <w:r>
              <w:rPr>
                <w:rFonts w:ascii="宋体" w:hint="eastAsia"/>
                <w:color w:val="000000"/>
                <w:kern w:val="0"/>
                <w:sz w:val="24"/>
                <w:szCs w:val="24"/>
              </w:rPr>
              <w:t>25,000,060.80</w:t>
            </w:r>
          </w:p>
        </w:tc>
        <w:tc>
          <w:tcPr>
            <w:tcW w:w="1029" w:type="dxa"/>
          </w:tcPr>
          <w:p w:rsidR="00A42717" w:rsidRPr="003174D2" w:rsidRDefault="00447072" w:rsidP="00F2556B">
            <w:pPr>
              <w:widowControl/>
              <w:spacing w:line="360" w:lineRule="auto"/>
              <w:jc w:val="right"/>
              <w:rPr>
                <w:rFonts w:ascii="宋体"/>
                <w:color w:val="000000"/>
                <w:kern w:val="0"/>
                <w:sz w:val="24"/>
                <w:szCs w:val="24"/>
              </w:rPr>
            </w:pPr>
            <w:r>
              <w:rPr>
                <w:rFonts w:ascii="宋体" w:hint="eastAsia"/>
                <w:color w:val="000000"/>
                <w:kern w:val="0"/>
                <w:sz w:val="24"/>
                <w:szCs w:val="24"/>
              </w:rPr>
              <w:t>1.14%</w:t>
            </w:r>
          </w:p>
        </w:tc>
        <w:tc>
          <w:tcPr>
            <w:tcW w:w="1776" w:type="dxa"/>
          </w:tcPr>
          <w:p w:rsidR="00A42717" w:rsidRPr="003174D2" w:rsidRDefault="00447072" w:rsidP="00F2556B">
            <w:pPr>
              <w:widowControl/>
              <w:spacing w:line="360" w:lineRule="auto"/>
              <w:jc w:val="right"/>
              <w:rPr>
                <w:rFonts w:ascii="宋体"/>
                <w:color w:val="000000"/>
                <w:kern w:val="0"/>
                <w:sz w:val="24"/>
                <w:szCs w:val="24"/>
              </w:rPr>
            </w:pPr>
            <w:r>
              <w:rPr>
                <w:rFonts w:ascii="宋体" w:hint="eastAsia"/>
                <w:color w:val="000000"/>
                <w:kern w:val="0"/>
                <w:sz w:val="24"/>
                <w:szCs w:val="24"/>
              </w:rPr>
              <w:t>22</w:t>
            </w:r>
            <w:r w:rsidR="00A72BBE">
              <w:rPr>
                <w:rFonts w:ascii="宋体"/>
                <w:color w:val="000000"/>
                <w:kern w:val="0"/>
                <w:sz w:val="24"/>
                <w:szCs w:val="24"/>
              </w:rPr>
              <w:t>,</w:t>
            </w:r>
            <w:r>
              <w:rPr>
                <w:rFonts w:ascii="宋体" w:hint="eastAsia"/>
                <w:color w:val="000000"/>
                <w:kern w:val="0"/>
                <w:sz w:val="24"/>
                <w:szCs w:val="24"/>
              </w:rPr>
              <w:t>437</w:t>
            </w:r>
            <w:r w:rsidR="00A72BBE">
              <w:rPr>
                <w:rFonts w:ascii="宋体"/>
                <w:color w:val="000000"/>
                <w:kern w:val="0"/>
                <w:sz w:val="24"/>
                <w:szCs w:val="24"/>
              </w:rPr>
              <w:t>,</w:t>
            </w:r>
            <w:r>
              <w:rPr>
                <w:rFonts w:ascii="宋体" w:hint="eastAsia"/>
                <w:color w:val="000000"/>
                <w:kern w:val="0"/>
                <w:sz w:val="24"/>
                <w:szCs w:val="24"/>
              </w:rPr>
              <w:t>773.</w:t>
            </w:r>
            <w:r>
              <w:rPr>
                <w:rFonts w:ascii="宋体"/>
                <w:color w:val="000000"/>
                <w:kern w:val="0"/>
                <w:sz w:val="24"/>
                <w:szCs w:val="24"/>
              </w:rPr>
              <w:t>10</w:t>
            </w:r>
          </w:p>
        </w:tc>
        <w:tc>
          <w:tcPr>
            <w:tcW w:w="1059" w:type="dxa"/>
          </w:tcPr>
          <w:p w:rsidR="00A42717" w:rsidRPr="003174D2" w:rsidRDefault="00447072" w:rsidP="00F2556B">
            <w:pPr>
              <w:widowControl/>
              <w:spacing w:line="360" w:lineRule="auto"/>
              <w:jc w:val="right"/>
              <w:rPr>
                <w:rFonts w:ascii="宋体"/>
                <w:color w:val="000000"/>
                <w:kern w:val="0"/>
                <w:sz w:val="24"/>
                <w:szCs w:val="24"/>
              </w:rPr>
            </w:pPr>
            <w:r>
              <w:rPr>
                <w:rFonts w:ascii="宋体" w:hint="eastAsia"/>
                <w:color w:val="000000"/>
                <w:kern w:val="0"/>
                <w:sz w:val="24"/>
                <w:szCs w:val="24"/>
              </w:rPr>
              <w:t>1.03%</w:t>
            </w:r>
          </w:p>
        </w:tc>
        <w:tc>
          <w:tcPr>
            <w:tcW w:w="950" w:type="dxa"/>
            <w:hideMark/>
          </w:tcPr>
          <w:p w:rsidR="00A42717" w:rsidRPr="003174D2" w:rsidRDefault="00A42717" w:rsidP="00A42717">
            <w:pPr>
              <w:widowControl/>
              <w:spacing w:line="360" w:lineRule="auto"/>
              <w:jc w:val="left"/>
              <w:rPr>
                <w:rFonts w:ascii="宋体"/>
                <w:color w:val="000000"/>
                <w:kern w:val="0"/>
                <w:sz w:val="24"/>
                <w:szCs w:val="24"/>
              </w:rPr>
            </w:pPr>
            <w:r w:rsidRPr="003174D2">
              <w:rPr>
                <w:rFonts w:ascii="宋体" w:hint="eastAsia"/>
                <w:color w:val="000000"/>
                <w:kern w:val="0"/>
                <w:sz w:val="24"/>
                <w:szCs w:val="24"/>
              </w:rPr>
              <w:t>6个月</w:t>
            </w:r>
          </w:p>
        </w:tc>
      </w:tr>
      <w:tr w:rsidR="00A42717" w:rsidRPr="003174D2" w:rsidTr="00F2556B">
        <w:trPr>
          <w:trHeight w:val="270"/>
        </w:trPr>
        <w:tc>
          <w:tcPr>
            <w:tcW w:w="2621" w:type="dxa"/>
            <w:hideMark/>
          </w:tcPr>
          <w:p w:rsidR="00A42717" w:rsidRPr="00A42717" w:rsidRDefault="00A42717" w:rsidP="00A42717">
            <w:pPr>
              <w:widowControl/>
              <w:jc w:val="left"/>
              <w:rPr>
                <w:rFonts w:ascii="宋体"/>
                <w:color w:val="000000"/>
                <w:kern w:val="0"/>
                <w:sz w:val="24"/>
                <w:szCs w:val="24"/>
              </w:rPr>
            </w:pPr>
            <w:r w:rsidRPr="00A42717">
              <w:rPr>
                <w:rFonts w:ascii="宋体" w:hint="eastAsia"/>
                <w:color w:val="000000"/>
                <w:kern w:val="0"/>
                <w:sz w:val="24"/>
                <w:szCs w:val="24"/>
              </w:rPr>
              <w:t>工银瑞信医疗保健行业股票型证券投资基金</w:t>
            </w:r>
          </w:p>
        </w:tc>
        <w:tc>
          <w:tcPr>
            <w:tcW w:w="1359" w:type="dxa"/>
            <w:hideMark/>
          </w:tcPr>
          <w:p w:rsidR="00A42717" w:rsidRPr="00A42717" w:rsidRDefault="007A64B1" w:rsidP="00F2556B">
            <w:pPr>
              <w:widowControl/>
              <w:jc w:val="right"/>
              <w:rPr>
                <w:rFonts w:ascii="宋体"/>
                <w:color w:val="000000"/>
                <w:kern w:val="0"/>
                <w:sz w:val="24"/>
                <w:szCs w:val="24"/>
              </w:rPr>
            </w:pPr>
            <w:r>
              <w:rPr>
                <w:rFonts w:ascii="宋体" w:hint="eastAsia"/>
                <w:color w:val="000000"/>
                <w:kern w:val="0"/>
                <w:sz w:val="24"/>
                <w:szCs w:val="24"/>
              </w:rPr>
              <w:t>1,048,950</w:t>
            </w:r>
          </w:p>
        </w:tc>
        <w:tc>
          <w:tcPr>
            <w:tcW w:w="1838" w:type="dxa"/>
            <w:hideMark/>
          </w:tcPr>
          <w:p w:rsidR="00A42717" w:rsidRPr="00A42717" w:rsidRDefault="00A42717" w:rsidP="00F2556B">
            <w:pPr>
              <w:widowControl/>
              <w:jc w:val="right"/>
              <w:rPr>
                <w:rFonts w:ascii="宋体"/>
                <w:color w:val="000000"/>
                <w:kern w:val="0"/>
                <w:sz w:val="24"/>
                <w:szCs w:val="24"/>
              </w:rPr>
            </w:pPr>
            <w:r w:rsidRPr="00A42717">
              <w:rPr>
                <w:rFonts w:ascii="宋体" w:hint="eastAsia"/>
                <w:color w:val="000000"/>
                <w:kern w:val="0"/>
                <w:sz w:val="24"/>
                <w:szCs w:val="24"/>
              </w:rPr>
              <w:t>47,999,952.00</w:t>
            </w:r>
          </w:p>
        </w:tc>
        <w:tc>
          <w:tcPr>
            <w:tcW w:w="1029" w:type="dxa"/>
          </w:tcPr>
          <w:p w:rsidR="00A42717" w:rsidRPr="003174D2" w:rsidRDefault="00447072" w:rsidP="00F2556B">
            <w:pPr>
              <w:widowControl/>
              <w:spacing w:line="360" w:lineRule="auto"/>
              <w:jc w:val="right"/>
              <w:rPr>
                <w:rFonts w:ascii="宋体"/>
                <w:color w:val="000000"/>
                <w:kern w:val="0"/>
                <w:sz w:val="24"/>
                <w:szCs w:val="24"/>
              </w:rPr>
            </w:pPr>
            <w:r>
              <w:rPr>
                <w:rFonts w:ascii="宋体" w:hint="eastAsia"/>
                <w:color w:val="000000"/>
                <w:kern w:val="0"/>
                <w:sz w:val="24"/>
                <w:szCs w:val="24"/>
              </w:rPr>
              <w:t>1</w:t>
            </w:r>
            <w:r>
              <w:rPr>
                <w:rFonts w:ascii="宋体"/>
                <w:color w:val="000000"/>
                <w:kern w:val="0"/>
                <w:sz w:val="24"/>
                <w:szCs w:val="24"/>
              </w:rPr>
              <w:t>.08%</w:t>
            </w:r>
          </w:p>
        </w:tc>
        <w:tc>
          <w:tcPr>
            <w:tcW w:w="1776" w:type="dxa"/>
          </w:tcPr>
          <w:p w:rsidR="00A42717" w:rsidRPr="003174D2" w:rsidRDefault="00447072" w:rsidP="00F2556B">
            <w:pPr>
              <w:widowControl/>
              <w:spacing w:line="360" w:lineRule="auto"/>
              <w:jc w:val="right"/>
              <w:rPr>
                <w:rFonts w:ascii="宋体"/>
                <w:color w:val="000000"/>
                <w:kern w:val="0"/>
                <w:sz w:val="24"/>
                <w:szCs w:val="24"/>
              </w:rPr>
            </w:pPr>
            <w:r>
              <w:rPr>
                <w:rFonts w:ascii="宋体" w:hint="eastAsia"/>
                <w:color w:val="000000"/>
                <w:kern w:val="0"/>
                <w:sz w:val="24"/>
                <w:szCs w:val="24"/>
              </w:rPr>
              <w:t>4</w:t>
            </w:r>
            <w:r>
              <w:rPr>
                <w:rFonts w:ascii="宋体"/>
                <w:color w:val="000000"/>
                <w:kern w:val="0"/>
                <w:sz w:val="24"/>
                <w:szCs w:val="24"/>
              </w:rPr>
              <w:t>3</w:t>
            </w:r>
            <w:r w:rsidR="00A72BBE">
              <w:rPr>
                <w:rFonts w:ascii="宋体"/>
                <w:color w:val="000000"/>
                <w:kern w:val="0"/>
                <w:sz w:val="24"/>
                <w:szCs w:val="24"/>
              </w:rPr>
              <w:t>,</w:t>
            </w:r>
            <w:r>
              <w:rPr>
                <w:rFonts w:ascii="宋体"/>
                <w:color w:val="000000"/>
                <w:kern w:val="0"/>
                <w:sz w:val="24"/>
                <w:szCs w:val="24"/>
              </w:rPr>
              <w:t>080</w:t>
            </w:r>
            <w:r w:rsidR="00A72BBE">
              <w:rPr>
                <w:rFonts w:ascii="宋体"/>
                <w:color w:val="000000"/>
                <w:kern w:val="0"/>
                <w:sz w:val="24"/>
                <w:szCs w:val="24"/>
              </w:rPr>
              <w:t>,</w:t>
            </w:r>
            <w:r>
              <w:rPr>
                <w:rFonts w:ascii="宋体"/>
                <w:color w:val="000000"/>
                <w:kern w:val="0"/>
                <w:sz w:val="24"/>
                <w:szCs w:val="24"/>
              </w:rPr>
              <w:t>376.50</w:t>
            </w:r>
          </w:p>
        </w:tc>
        <w:tc>
          <w:tcPr>
            <w:tcW w:w="1059" w:type="dxa"/>
          </w:tcPr>
          <w:p w:rsidR="00A42717" w:rsidRPr="003174D2" w:rsidRDefault="00447072" w:rsidP="00F2556B">
            <w:pPr>
              <w:widowControl/>
              <w:spacing w:line="360" w:lineRule="auto"/>
              <w:jc w:val="right"/>
              <w:rPr>
                <w:rFonts w:ascii="宋体"/>
                <w:color w:val="000000"/>
                <w:kern w:val="0"/>
                <w:sz w:val="24"/>
                <w:szCs w:val="24"/>
              </w:rPr>
            </w:pPr>
            <w:r>
              <w:rPr>
                <w:rFonts w:ascii="宋体" w:hint="eastAsia"/>
                <w:color w:val="000000"/>
                <w:kern w:val="0"/>
                <w:sz w:val="24"/>
                <w:szCs w:val="24"/>
              </w:rPr>
              <w:t>0</w:t>
            </w:r>
            <w:r>
              <w:rPr>
                <w:rFonts w:ascii="宋体"/>
                <w:color w:val="000000"/>
                <w:kern w:val="0"/>
                <w:sz w:val="24"/>
                <w:szCs w:val="24"/>
              </w:rPr>
              <w:t>.97%</w:t>
            </w:r>
          </w:p>
        </w:tc>
        <w:tc>
          <w:tcPr>
            <w:tcW w:w="950" w:type="dxa"/>
            <w:hideMark/>
          </w:tcPr>
          <w:p w:rsidR="00A42717" w:rsidRPr="003174D2" w:rsidRDefault="00A42717" w:rsidP="00A42717">
            <w:pPr>
              <w:widowControl/>
              <w:spacing w:line="360" w:lineRule="auto"/>
              <w:jc w:val="left"/>
              <w:rPr>
                <w:rFonts w:ascii="宋体"/>
                <w:color w:val="000000"/>
                <w:kern w:val="0"/>
                <w:sz w:val="24"/>
                <w:szCs w:val="24"/>
              </w:rPr>
            </w:pPr>
            <w:r w:rsidRPr="003174D2">
              <w:rPr>
                <w:rFonts w:ascii="宋体" w:hint="eastAsia"/>
                <w:color w:val="000000"/>
                <w:kern w:val="0"/>
                <w:sz w:val="24"/>
                <w:szCs w:val="24"/>
              </w:rPr>
              <w:t>6个月</w:t>
            </w:r>
          </w:p>
        </w:tc>
      </w:tr>
      <w:tr w:rsidR="00A42717" w:rsidRPr="003174D2" w:rsidTr="00F2556B">
        <w:trPr>
          <w:trHeight w:val="270"/>
        </w:trPr>
        <w:tc>
          <w:tcPr>
            <w:tcW w:w="2621" w:type="dxa"/>
          </w:tcPr>
          <w:p w:rsidR="00A42717" w:rsidRPr="00A42717" w:rsidRDefault="00A42717" w:rsidP="00A42717">
            <w:pPr>
              <w:widowControl/>
              <w:jc w:val="left"/>
              <w:rPr>
                <w:rFonts w:ascii="宋体"/>
                <w:color w:val="000000"/>
                <w:kern w:val="0"/>
                <w:sz w:val="24"/>
                <w:szCs w:val="24"/>
              </w:rPr>
            </w:pPr>
            <w:r w:rsidRPr="00A42717">
              <w:rPr>
                <w:rFonts w:ascii="宋体" w:hint="eastAsia"/>
                <w:color w:val="000000"/>
                <w:kern w:val="0"/>
                <w:sz w:val="24"/>
                <w:szCs w:val="24"/>
              </w:rPr>
              <w:t>工银瑞信前沿医疗股票型证券投资基金</w:t>
            </w:r>
          </w:p>
        </w:tc>
        <w:tc>
          <w:tcPr>
            <w:tcW w:w="1359" w:type="dxa"/>
          </w:tcPr>
          <w:p w:rsidR="00A42717" w:rsidRPr="00A42717" w:rsidRDefault="00A42717" w:rsidP="00F2556B">
            <w:pPr>
              <w:widowControl/>
              <w:jc w:val="right"/>
              <w:rPr>
                <w:rFonts w:ascii="宋体"/>
                <w:color w:val="000000"/>
                <w:kern w:val="0"/>
                <w:sz w:val="24"/>
                <w:szCs w:val="24"/>
              </w:rPr>
            </w:pPr>
            <w:r w:rsidRPr="00A42717">
              <w:rPr>
                <w:rFonts w:ascii="宋体" w:hint="eastAsia"/>
                <w:color w:val="000000"/>
                <w:kern w:val="0"/>
                <w:sz w:val="24"/>
                <w:szCs w:val="24"/>
              </w:rPr>
              <w:t>874,125</w:t>
            </w:r>
          </w:p>
        </w:tc>
        <w:tc>
          <w:tcPr>
            <w:tcW w:w="1838" w:type="dxa"/>
          </w:tcPr>
          <w:p w:rsidR="00A42717" w:rsidRPr="00A42717" w:rsidRDefault="00A42717" w:rsidP="00F2556B">
            <w:pPr>
              <w:widowControl/>
              <w:jc w:val="right"/>
              <w:rPr>
                <w:rFonts w:ascii="宋体"/>
                <w:color w:val="000000"/>
                <w:kern w:val="0"/>
                <w:sz w:val="24"/>
                <w:szCs w:val="24"/>
              </w:rPr>
            </w:pPr>
            <w:r w:rsidRPr="00A42717">
              <w:rPr>
                <w:rFonts w:ascii="宋体" w:hint="eastAsia"/>
                <w:color w:val="000000"/>
                <w:kern w:val="0"/>
                <w:sz w:val="24"/>
                <w:szCs w:val="24"/>
              </w:rPr>
              <w:t>39,999,960.00</w:t>
            </w:r>
          </w:p>
        </w:tc>
        <w:tc>
          <w:tcPr>
            <w:tcW w:w="1029" w:type="dxa"/>
          </w:tcPr>
          <w:p w:rsidR="00A42717" w:rsidRPr="003174D2" w:rsidRDefault="00447072" w:rsidP="00F2556B">
            <w:pPr>
              <w:widowControl/>
              <w:spacing w:line="360" w:lineRule="auto"/>
              <w:jc w:val="right"/>
              <w:rPr>
                <w:rFonts w:ascii="宋体"/>
                <w:color w:val="000000"/>
                <w:kern w:val="0"/>
                <w:sz w:val="24"/>
                <w:szCs w:val="24"/>
              </w:rPr>
            </w:pPr>
            <w:r>
              <w:rPr>
                <w:rFonts w:ascii="宋体" w:hint="eastAsia"/>
                <w:color w:val="000000"/>
                <w:kern w:val="0"/>
                <w:sz w:val="24"/>
                <w:szCs w:val="24"/>
              </w:rPr>
              <w:t>0</w:t>
            </w:r>
            <w:r>
              <w:rPr>
                <w:rFonts w:ascii="宋体"/>
                <w:color w:val="000000"/>
                <w:kern w:val="0"/>
                <w:sz w:val="24"/>
                <w:szCs w:val="24"/>
              </w:rPr>
              <w:t>.61%</w:t>
            </w:r>
          </w:p>
        </w:tc>
        <w:tc>
          <w:tcPr>
            <w:tcW w:w="1776" w:type="dxa"/>
          </w:tcPr>
          <w:p w:rsidR="00A42717" w:rsidRPr="003174D2" w:rsidRDefault="00447072" w:rsidP="00F2556B">
            <w:pPr>
              <w:widowControl/>
              <w:spacing w:line="360" w:lineRule="auto"/>
              <w:jc w:val="right"/>
              <w:rPr>
                <w:rFonts w:ascii="宋体"/>
                <w:color w:val="000000"/>
                <w:kern w:val="0"/>
                <w:sz w:val="24"/>
                <w:szCs w:val="24"/>
              </w:rPr>
            </w:pPr>
            <w:r>
              <w:rPr>
                <w:rFonts w:ascii="宋体" w:hint="eastAsia"/>
                <w:color w:val="000000"/>
                <w:kern w:val="0"/>
                <w:sz w:val="24"/>
                <w:szCs w:val="24"/>
              </w:rPr>
              <w:t>3</w:t>
            </w:r>
            <w:r>
              <w:rPr>
                <w:rFonts w:ascii="宋体"/>
                <w:color w:val="000000"/>
                <w:kern w:val="0"/>
                <w:sz w:val="24"/>
                <w:szCs w:val="24"/>
              </w:rPr>
              <w:t>5</w:t>
            </w:r>
            <w:r w:rsidR="00A72BBE">
              <w:rPr>
                <w:rFonts w:ascii="宋体"/>
                <w:color w:val="000000"/>
                <w:kern w:val="0"/>
                <w:sz w:val="24"/>
                <w:szCs w:val="24"/>
              </w:rPr>
              <w:t>,</w:t>
            </w:r>
            <w:r>
              <w:rPr>
                <w:rFonts w:ascii="宋体"/>
                <w:color w:val="000000"/>
                <w:kern w:val="0"/>
                <w:sz w:val="24"/>
                <w:szCs w:val="24"/>
              </w:rPr>
              <w:t>900</w:t>
            </w:r>
            <w:r w:rsidR="00A72BBE">
              <w:rPr>
                <w:rFonts w:ascii="宋体"/>
                <w:color w:val="000000"/>
                <w:kern w:val="0"/>
                <w:sz w:val="24"/>
                <w:szCs w:val="24"/>
              </w:rPr>
              <w:t>,</w:t>
            </w:r>
            <w:r>
              <w:rPr>
                <w:rFonts w:ascii="宋体"/>
                <w:color w:val="000000"/>
                <w:kern w:val="0"/>
                <w:sz w:val="24"/>
                <w:szCs w:val="24"/>
              </w:rPr>
              <w:t>313.75</w:t>
            </w:r>
          </w:p>
        </w:tc>
        <w:tc>
          <w:tcPr>
            <w:tcW w:w="1059" w:type="dxa"/>
          </w:tcPr>
          <w:p w:rsidR="00A42717" w:rsidRPr="003174D2" w:rsidRDefault="00447072" w:rsidP="00F2556B">
            <w:pPr>
              <w:widowControl/>
              <w:spacing w:line="360" w:lineRule="auto"/>
              <w:jc w:val="right"/>
              <w:rPr>
                <w:rFonts w:ascii="宋体"/>
                <w:color w:val="000000"/>
                <w:kern w:val="0"/>
                <w:sz w:val="24"/>
                <w:szCs w:val="24"/>
              </w:rPr>
            </w:pPr>
            <w:r>
              <w:rPr>
                <w:rFonts w:ascii="宋体" w:hint="eastAsia"/>
                <w:color w:val="000000"/>
                <w:kern w:val="0"/>
                <w:sz w:val="24"/>
                <w:szCs w:val="24"/>
              </w:rPr>
              <w:t>0</w:t>
            </w:r>
            <w:r>
              <w:rPr>
                <w:rFonts w:ascii="宋体"/>
                <w:color w:val="000000"/>
                <w:kern w:val="0"/>
                <w:sz w:val="24"/>
                <w:szCs w:val="24"/>
              </w:rPr>
              <w:t>.55%</w:t>
            </w:r>
          </w:p>
        </w:tc>
        <w:tc>
          <w:tcPr>
            <w:tcW w:w="950" w:type="dxa"/>
          </w:tcPr>
          <w:p w:rsidR="00A42717" w:rsidRDefault="00A42717" w:rsidP="00A42717">
            <w:r w:rsidRPr="00755934">
              <w:rPr>
                <w:rFonts w:ascii="宋体" w:hint="eastAsia"/>
                <w:color w:val="000000"/>
                <w:kern w:val="0"/>
                <w:sz w:val="24"/>
                <w:szCs w:val="24"/>
              </w:rPr>
              <w:t>6个月</w:t>
            </w:r>
          </w:p>
        </w:tc>
      </w:tr>
      <w:tr w:rsidR="00A42717" w:rsidRPr="003174D2" w:rsidTr="00F2556B">
        <w:trPr>
          <w:trHeight w:val="270"/>
        </w:trPr>
        <w:tc>
          <w:tcPr>
            <w:tcW w:w="2621" w:type="dxa"/>
          </w:tcPr>
          <w:p w:rsidR="00A42717" w:rsidRPr="00A42717" w:rsidRDefault="00A42717" w:rsidP="00A42717">
            <w:pPr>
              <w:widowControl/>
              <w:jc w:val="left"/>
              <w:rPr>
                <w:rFonts w:ascii="宋体"/>
                <w:color w:val="000000"/>
                <w:kern w:val="0"/>
                <w:sz w:val="24"/>
                <w:szCs w:val="24"/>
              </w:rPr>
            </w:pPr>
            <w:r w:rsidRPr="00A42717">
              <w:rPr>
                <w:rFonts w:ascii="宋体" w:hint="eastAsia"/>
                <w:color w:val="000000"/>
                <w:kern w:val="0"/>
                <w:sz w:val="24"/>
                <w:szCs w:val="24"/>
              </w:rPr>
              <w:t>工银瑞信养老产业股票型证券投资基金</w:t>
            </w:r>
          </w:p>
        </w:tc>
        <w:tc>
          <w:tcPr>
            <w:tcW w:w="1359" w:type="dxa"/>
          </w:tcPr>
          <w:p w:rsidR="00A42717" w:rsidRPr="00A42717" w:rsidRDefault="00A42717" w:rsidP="00F2556B">
            <w:pPr>
              <w:widowControl/>
              <w:jc w:val="right"/>
              <w:rPr>
                <w:rFonts w:ascii="宋体"/>
                <w:color w:val="000000"/>
                <w:kern w:val="0"/>
                <w:sz w:val="24"/>
                <w:szCs w:val="24"/>
              </w:rPr>
            </w:pPr>
            <w:r w:rsidRPr="00A42717">
              <w:rPr>
                <w:rFonts w:ascii="宋体" w:hint="eastAsia"/>
                <w:color w:val="000000"/>
                <w:kern w:val="0"/>
                <w:sz w:val="24"/>
                <w:szCs w:val="24"/>
              </w:rPr>
              <w:t>917,832</w:t>
            </w:r>
          </w:p>
        </w:tc>
        <w:tc>
          <w:tcPr>
            <w:tcW w:w="1838" w:type="dxa"/>
          </w:tcPr>
          <w:p w:rsidR="00A42717" w:rsidRPr="00A42717" w:rsidRDefault="00A42717" w:rsidP="00F2556B">
            <w:pPr>
              <w:widowControl/>
              <w:jc w:val="right"/>
              <w:rPr>
                <w:rFonts w:ascii="宋体"/>
                <w:color w:val="000000"/>
                <w:kern w:val="0"/>
                <w:sz w:val="24"/>
                <w:szCs w:val="24"/>
              </w:rPr>
            </w:pPr>
            <w:r w:rsidRPr="00A42717">
              <w:rPr>
                <w:rFonts w:ascii="宋体" w:hint="eastAsia"/>
                <w:color w:val="000000"/>
                <w:kern w:val="0"/>
                <w:sz w:val="24"/>
                <w:szCs w:val="24"/>
              </w:rPr>
              <w:t>41,999,992.32</w:t>
            </w:r>
          </w:p>
        </w:tc>
        <w:tc>
          <w:tcPr>
            <w:tcW w:w="1029" w:type="dxa"/>
          </w:tcPr>
          <w:p w:rsidR="00A42717" w:rsidRPr="003174D2" w:rsidRDefault="00A72BBE" w:rsidP="00F2556B">
            <w:pPr>
              <w:widowControl/>
              <w:spacing w:line="360" w:lineRule="auto"/>
              <w:jc w:val="right"/>
              <w:rPr>
                <w:rFonts w:ascii="宋体"/>
                <w:color w:val="000000"/>
                <w:kern w:val="0"/>
                <w:sz w:val="24"/>
                <w:szCs w:val="24"/>
              </w:rPr>
            </w:pPr>
            <w:r>
              <w:rPr>
                <w:rFonts w:ascii="宋体" w:hint="eastAsia"/>
                <w:color w:val="000000"/>
                <w:kern w:val="0"/>
                <w:sz w:val="24"/>
                <w:szCs w:val="24"/>
              </w:rPr>
              <w:t>1</w:t>
            </w:r>
            <w:r>
              <w:rPr>
                <w:rFonts w:ascii="宋体"/>
                <w:color w:val="000000"/>
                <w:kern w:val="0"/>
                <w:sz w:val="24"/>
                <w:szCs w:val="24"/>
              </w:rPr>
              <w:t>.08%</w:t>
            </w:r>
          </w:p>
        </w:tc>
        <w:tc>
          <w:tcPr>
            <w:tcW w:w="1776" w:type="dxa"/>
          </w:tcPr>
          <w:p w:rsidR="00A72BBE" w:rsidRPr="003174D2" w:rsidRDefault="00A72BBE" w:rsidP="00F2556B">
            <w:pPr>
              <w:widowControl/>
              <w:spacing w:line="360" w:lineRule="auto"/>
              <w:jc w:val="right"/>
              <w:rPr>
                <w:rFonts w:ascii="宋体"/>
                <w:color w:val="000000"/>
                <w:kern w:val="0"/>
                <w:sz w:val="24"/>
                <w:szCs w:val="24"/>
              </w:rPr>
            </w:pPr>
            <w:r>
              <w:rPr>
                <w:rFonts w:ascii="宋体" w:hint="eastAsia"/>
                <w:color w:val="000000"/>
                <w:kern w:val="0"/>
                <w:sz w:val="24"/>
                <w:szCs w:val="24"/>
              </w:rPr>
              <w:t>3</w:t>
            </w:r>
            <w:r>
              <w:rPr>
                <w:rFonts w:ascii="宋体"/>
                <w:color w:val="000000"/>
                <w:kern w:val="0"/>
                <w:sz w:val="24"/>
                <w:szCs w:val="24"/>
              </w:rPr>
              <w:t>7,695,360.24</w:t>
            </w:r>
          </w:p>
        </w:tc>
        <w:tc>
          <w:tcPr>
            <w:tcW w:w="1059" w:type="dxa"/>
          </w:tcPr>
          <w:p w:rsidR="00A42717" w:rsidRPr="003174D2" w:rsidRDefault="00A72BBE" w:rsidP="00F2556B">
            <w:pPr>
              <w:widowControl/>
              <w:spacing w:line="360" w:lineRule="auto"/>
              <w:jc w:val="right"/>
              <w:rPr>
                <w:rFonts w:ascii="宋体"/>
                <w:color w:val="000000"/>
                <w:kern w:val="0"/>
                <w:sz w:val="24"/>
                <w:szCs w:val="24"/>
              </w:rPr>
            </w:pPr>
            <w:r>
              <w:rPr>
                <w:rFonts w:ascii="宋体" w:hint="eastAsia"/>
                <w:color w:val="000000"/>
                <w:kern w:val="0"/>
                <w:sz w:val="24"/>
                <w:szCs w:val="24"/>
              </w:rPr>
              <w:t>0</w:t>
            </w:r>
            <w:r>
              <w:rPr>
                <w:rFonts w:ascii="宋体"/>
                <w:color w:val="000000"/>
                <w:kern w:val="0"/>
                <w:sz w:val="24"/>
                <w:szCs w:val="24"/>
              </w:rPr>
              <w:t>.97%</w:t>
            </w:r>
          </w:p>
        </w:tc>
        <w:tc>
          <w:tcPr>
            <w:tcW w:w="950" w:type="dxa"/>
          </w:tcPr>
          <w:p w:rsidR="00A42717" w:rsidRDefault="00A42717" w:rsidP="00A42717">
            <w:r w:rsidRPr="00755934">
              <w:rPr>
                <w:rFonts w:ascii="宋体" w:hint="eastAsia"/>
                <w:color w:val="000000"/>
                <w:kern w:val="0"/>
                <w:sz w:val="24"/>
                <w:szCs w:val="24"/>
              </w:rPr>
              <w:t>6个月</w:t>
            </w:r>
          </w:p>
        </w:tc>
      </w:tr>
      <w:tr w:rsidR="00A42717" w:rsidRPr="003174D2" w:rsidTr="00F2556B">
        <w:trPr>
          <w:trHeight w:val="270"/>
        </w:trPr>
        <w:tc>
          <w:tcPr>
            <w:tcW w:w="2621" w:type="dxa"/>
          </w:tcPr>
          <w:p w:rsidR="00A42717" w:rsidRPr="00A42717" w:rsidRDefault="00A42717" w:rsidP="00A42717">
            <w:pPr>
              <w:widowControl/>
              <w:jc w:val="left"/>
              <w:rPr>
                <w:rFonts w:ascii="宋体"/>
                <w:color w:val="000000"/>
                <w:kern w:val="0"/>
                <w:sz w:val="24"/>
                <w:szCs w:val="24"/>
              </w:rPr>
            </w:pPr>
            <w:r w:rsidRPr="00A42717">
              <w:rPr>
                <w:rFonts w:ascii="宋体" w:hint="eastAsia"/>
                <w:color w:val="000000"/>
                <w:kern w:val="0"/>
                <w:sz w:val="24"/>
                <w:szCs w:val="24"/>
              </w:rPr>
              <w:t>工银瑞信精选平衡混合型证券投资基金</w:t>
            </w:r>
          </w:p>
        </w:tc>
        <w:tc>
          <w:tcPr>
            <w:tcW w:w="1359" w:type="dxa"/>
          </w:tcPr>
          <w:p w:rsidR="00A42717" w:rsidRPr="00A42717" w:rsidRDefault="00A42717" w:rsidP="00F2556B">
            <w:pPr>
              <w:widowControl/>
              <w:jc w:val="right"/>
              <w:rPr>
                <w:rFonts w:ascii="宋体"/>
                <w:color w:val="000000"/>
                <w:kern w:val="0"/>
                <w:sz w:val="24"/>
                <w:szCs w:val="24"/>
              </w:rPr>
            </w:pPr>
            <w:r w:rsidRPr="00A42717">
              <w:rPr>
                <w:rFonts w:ascii="宋体" w:hint="eastAsia"/>
                <w:color w:val="000000"/>
                <w:kern w:val="0"/>
                <w:sz w:val="24"/>
                <w:szCs w:val="24"/>
              </w:rPr>
              <w:t>163,900</w:t>
            </w:r>
          </w:p>
        </w:tc>
        <w:tc>
          <w:tcPr>
            <w:tcW w:w="1838" w:type="dxa"/>
          </w:tcPr>
          <w:p w:rsidR="00A42717" w:rsidRPr="00A42717" w:rsidRDefault="00A42717" w:rsidP="00F2556B">
            <w:pPr>
              <w:widowControl/>
              <w:jc w:val="right"/>
              <w:rPr>
                <w:rFonts w:ascii="宋体"/>
                <w:color w:val="000000"/>
                <w:kern w:val="0"/>
                <w:sz w:val="24"/>
                <w:szCs w:val="24"/>
              </w:rPr>
            </w:pPr>
            <w:r w:rsidRPr="00A42717">
              <w:rPr>
                <w:rFonts w:ascii="宋体" w:hint="eastAsia"/>
                <w:color w:val="000000"/>
                <w:kern w:val="0"/>
                <w:sz w:val="24"/>
                <w:szCs w:val="24"/>
              </w:rPr>
              <w:t>7,500,064.00</w:t>
            </w:r>
          </w:p>
        </w:tc>
        <w:tc>
          <w:tcPr>
            <w:tcW w:w="1029" w:type="dxa"/>
          </w:tcPr>
          <w:p w:rsidR="00A42717" w:rsidRPr="003174D2" w:rsidRDefault="00A72BBE" w:rsidP="00F2556B">
            <w:pPr>
              <w:widowControl/>
              <w:spacing w:line="360" w:lineRule="auto"/>
              <w:jc w:val="right"/>
              <w:rPr>
                <w:rFonts w:ascii="宋体"/>
                <w:color w:val="000000"/>
                <w:kern w:val="0"/>
                <w:sz w:val="24"/>
                <w:szCs w:val="24"/>
              </w:rPr>
            </w:pPr>
            <w:r>
              <w:rPr>
                <w:rFonts w:ascii="宋体" w:hint="eastAsia"/>
                <w:color w:val="000000"/>
                <w:kern w:val="0"/>
                <w:sz w:val="24"/>
                <w:szCs w:val="24"/>
              </w:rPr>
              <w:t>0</w:t>
            </w:r>
            <w:r>
              <w:rPr>
                <w:rFonts w:ascii="宋体"/>
                <w:color w:val="000000"/>
                <w:kern w:val="0"/>
                <w:sz w:val="24"/>
                <w:szCs w:val="24"/>
              </w:rPr>
              <w:t>.48%</w:t>
            </w:r>
          </w:p>
        </w:tc>
        <w:tc>
          <w:tcPr>
            <w:tcW w:w="1776" w:type="dxa"/>
          </w:tcPr>
          <w:p w:rsidR="00A42717" w:rsidRPr="003174D2" w:rsidRDefault="00A72BBE" w:rsidP="00F2556B">
            <w:pPr>
              <w:widowControl/>
              <w:spacing w:line="360" w:lineRule="auto"/>
              <w:jc w:val="right"/>
              <w:rPr>
                <w:rFonts w:ascii="宋体"/>
                <w:color w:val="000000"/>
                <w:kern w:val="0"/>
                <w:sz w:val="24"/>
                <w:szCs w:val="24"/>
              </w:rPr>
            </w:pPr>
            <w:r>
              <w:rPr>
                <w:rFonts w:ascii="宋体" w:hint="eastAsia"/>
                <w:color w:val="000000"/>
                <w:kern w:val="0"/>
                <w:sz w:val="24"/>
                <w:szCs w:val="24"/>
              </w:rPr>
              <w:t>6</w:t>
            </w:r>
            <w:r>
              <w:rPr>
                <w:rFonts w:ascii="宋体"/>
                <w:color w:val="000000"/>
                <w:kern w:val="0"/>
                <w:sz w:val="24"/>
                <w:szCs w:val="24"/>
              </w:rPr>
              <w:t>,731,373.00</w:t>
            </w:r>
          </w:p>
        </w:tc>
        <w:tc>
          <w:tcPr>
            <w:tcW w:w="1059" w:type="dxa"/>
          </w:tcPr>
          <w:p w:rsidR="00A42717" w:rsidRPr="003174D2" w:rsidRDefault="00A72BBE" w:rsidP="00F2556B">
            <w:pPr>
              <w:widowControl/>
              <w:spacing w:line="360" w:lineRule="auto"/>
              <w:jc w:val="right"/>
              <w:rPr>
                <w:rFonts w:ascii="宋体"/>
                <w:color w:val="000000"/>
                <w:kern w:val="0"/>
                <w:sz w:val="24"/>
                <w:szCs w:val="24"/>
              </w:rPr>
            </w:pPr>
            <w:r>
              <w:rPr>
                <w:rFonts w:ascii="宋体" w:hint="eastAsia"/>
                <w:color w:val="000000"/>
                <w:kern w:val="0"/>
                <w:sz w:val="24"/>
                <w:szCs w:val="24"/>
              </w:rPr>
              <w:t>0</w:t>
            </w:r>
            <w:r>
              <w:rPr>
                <w:rFonts w:ascii="宋体"/>
                <w:color w:val="000000"/>
                <w:kern w:val="0"/>
                <w:sz w:val="24"/>
                <w:szCs w:val="24"/>
              </w:rPr>
              <w:t>.43%</w:t>
            </w:r>
          </w:p>
        </w:tc>
        <w:tc>
          <w:tcPr>
            <w:tcW w:w="950" w:type="dxa"/>
          </w:tcPr>
          <w:p w:rsidR="00A42717" w:rsidRDefault="00A42717" w:rsidP="00A42717">
            <w:r w:rsidRPr="00755934">
              <w:rPr>
                <w:rFonts w:ascii="宋体" w:hint="eastAsia"/>
                <w:color w:val="000000"/>
                <w:kern w:val="0"/>
                <w:sz w:val="24"/>
                <w:szCs w:val="24"/>
              </w:rPr>
              <w:t>6个月</w:t>
            </w:r>
          </w:p>
        </w:tc>
      </w:tr>
      <w:tr w:rsidR="00A42717" w:rsidRPr="003174D2" w:rsidTr="00F2556B">
        <w:trPr>
          <w:trHeight w:val="270"/>
        </w:trPr>
        <w:tc>
          <w:tcPr>
            <w:tcW w:w="2621" w:type="dxa"/>
          </w:tcPr>
          <w:p w:rsidR="00A42717" w:rsidRPr="00A42717" w:rsidRDefault="00A42717" w:rsidP="00A42717">
            <w:pPr>
              <w:widowControl/>
              <w:jc w:val="left"/>
              <w:rPr>
                <w:rFonts w:ascii="宋体"/>
                <w:color w:val="000000"/>
                <w:kern w:val="0"/>
                <w:sz w:val="24"/>
                <w:szCs w:val="24"/>
              </w:rPr>
            </w:pPr>
            <w:r w:rsidRPr="00A42717">
              <w:rPr>
                <w:rFonts w:ascii="宋体" w:hint="eastAsia"/>
                <w:color w:val="000000"/>
                <w:kern w:val="0"/>
                <w:sz w:val="24"/>
                <w:szCs w:val="24"/>
              </w:rPr>
              <w:t>工银瑞信美丽城镇主题股票型证券投资基金</w:t>
            </w:r>
          </w:p>
        </w:tc>
        <w:tc>
          <w:tcPr>
            <w:tcW w:w="1359" w:type="dxa"/>
          </w:tcPr>
          <w:p w:rsidR="00A42717" w:rsidRPr="00A42717" w:rsidRDefault="00A42717" w:rsidP="00F2556B">
            <w:pPr>
              <w:widowControl/>
              <w:jc w:val="right"/>
              <w:rPr>
                <w:rFonts w:ascii="宋体"/>
                <w:color w:val="000000"/>
                <w:kern w:val="0"/>
                <w:sz w:val="24"/>
                <w:szCs w:val="24"/>
              </w:rPr>
            </w:pPr>
            <w:r w:rsidRPr="00A42717">
              <w:rPr>
                <w:rFonts w:ascii="宋体" w:hint="eastAsia"/>
                <w:color w:val="000000"/>
                <w:kern w:val="0"/>
                <w:sz w:val="24"/>
                <w:szCs w:val="24"/>
              </w:rPr>
              <w:t>54,632</w:t>
            </w:r>
          </w:p>
        </w:tc>
        <w:tc>
          <w:tcPr>
            <w:tcW w:w="1838" w:type="dxa"/>
          </w:tcPr>
          <w:p w:rsidR="00A42717" w:rsidRPr="00A42717" w:rsidRDefault="00A42717" w:rsidP="00F2556B">
            <w:pPr>
              <w:widowControl/>
              <w:jc w:val="right"/>
              <w:rPr>
                <w:rFonts w:ascii="宋体"/>
                <w:color w:val="000000"/>
                <w:kern w:val="0"/>
                <w:sz w:val="24"/>
                <w:szCs w:val="24"/>
              </w:rPr>
            </w:pPr>
            <w:r w:rsidRPr="00A42717">
              <w:rPr>
                <w:rFonts w:ascii="宋体" w:hint="eastAsia"/>
                <w:color w:val="000000"/>
                <w:kern w:val="0"/>
                <w:sz w:val="24"/>
                <w:szCs w:val="24"/>
              </w:rPr>
              <w:t>2,499,960.32</w:t>
            </w:r>
          </w:p>
        </w:tc>
        <w:tc>
          <w:tcPr>
            <w:tcW w:w="1029" w:type="dxa"/>
          </w:tcPr>
          <w:p w:rsidR="00A42717" w:rsidRPr="003174D2" w:rsidRDefault="00447072" w:rsidP="00F2556B">
            <w:pPr>
              <w:widowControl/>
              <w:spacing w:line="360" w:lineRule="auto"/>
              <w:jc w:val="right"/>
              <w:rPr>
                <w:rFonts w:ascii="宋体"/>
                <w:color w:val="000000"/>
                <w:kern w:val="0"/>
                <w:sz w:val="24"/>
                <w:szCs w:val="24"/>
              </w:rPr>
            </w:pPr>
            <w:r>
              <w:rPr>
                <w:rFonts w:ascii="宋体" w:hint="eastAsia"/>
                <w:color w:val="000000"/>
                <w:kern w:val="0"/>
                <w:sz w:val="24"/>
                <w:szCs w:val="24"/>
              </w:rPr>
              <w:t>0.60%</w:t>
            </w:r>
          </w:p>
        </w:tc>
        <w:tc>
          <w:tcPr>
            <w:tcW w:w="1776" w:type="dxa"/>
          </w:tcPr>
          <w:p w:rsidR="00A42717" w:rsidRPr="003174D2" w:rsidRDefault="00447072" w:rsidP="00F2556B">
            <w:pPr>
              <w:widowControl/>
              <w:spacing w:line="360" w:lineRule="auto"/>
              <w:jc w:val="right"/>
              <w:rPr>
                <w:rFonts w:ascii="宋体"/>
                <w:color w:val="000000"/>
                <w:kern w:val="0"/>
                <w:sz w:val="24"/>
                <w:szCs w:val="24"/>
              </w:rPr>
            </w:pPr>
            <w:r>
              <w:rPr>
                <w:rFonts w:ascii="宋体" w:hint="eastAsia"/>
                <w:color w:val="000000"/>
                <w:kern w:val="0"/>
                <w:sz w:val="24"/>
                <w:szCs w:val="24"/>
              </w:rPr>
              <w:t>2</w:t>
            </w:r>
            <w:r w:rsidR="00A72BBE">
              <w:rPr>
                <w:rFonts w:ascii="宋体"/>
                <w:color w:val="000000"/>
                <w:kern w:val="0"/>
                <w:sz w:val="24"/>
                <w:szCs w:val="24"/>
              </w:rPr>
              <w:t>,</w:t>
            </w:r>
            <w:r>
              <w:rPr>
                <w:rFonts w:ascii="宋体" w:hint="eastAsia"/>
                <w:color w:val="000000"/>
                <w:kern w:val="0"/>
                <w:sz w:val="24"/>
                <w:szCs w:val="24"/>
              </w:rPr>
              <w:t>243</w:t>
            </w:r>
            <w:r w:rsidR="00A72BBE">
              <w:rPr>
                <w:rFonts w:ascii="宋体"/>
                <w:color w:val="000000"/>
                <w:kern w:val="0"/>
                <w:sz w:val="24"/>
                <w:szCs w:val="24"/>
              </w:rPr>
              <w:t>,</w:t>
            </w:r>
            <w:r>
              <w:rPr>
                <w:rFonts w:ascii="宋体" w:hint="eastAsia"/>
                <w:color w:val="000000"/>
                <w:kern w:val="0"/>
                <w:sz w:val="24"/>
                <w:szCs w:val="24"/>
              </w:rPr>
              <w:t>736.24</w:t>
            </w:r>
          </w:p>
        </w:tc>
        <w:tc>
          <w:tcPr>
            <w:tcW w:w="1059" w:type="dxa"/>
          </w:tcPr>
          <w:p w:rsidR="00A42717" w:rsidRPr="003174D2" w:rsidRDefault="00447072" w:rsidP="00F2556B">
            <w:pPr>
              <w:widowControl/>
              <w:spacing w:line="360" w:lineRule="auto"/>
              <w:jc w:val="right"/>
              <w:rPr>
                <w:rFonts w:ascii="宋体"/>
                <w:color w:val="000000"/>
                <w:kern w:val="0"/>
                <w:sz w:val="24"/>
                <w:szCs w:val="24"/>
              </w:rPr>
            </w:pPr>
            <w:r>
              <w:rPr>
                <w:rFonts w:ascii="宋体" w:hint="eastAsia"/>
                <w:color w:val="000000"/>
                <w:kern w:val="0"/>
                <w:sz w:val="24"/>
                <w:szCs w:val="24"/>
              </w:rPr>
              <w:t>0.54%</w:t>
            </w:r>
          </w:p>
        </w:tc>
        <w:tc>
          <w:tcPr>
            <w:tcW w:w="950" w:type="dxa"/>
          </w:tcPr>
          <w:p w:rsidR="00A42717" w:rsidRDefault="00A42717" w:rsidP="00A42717">
            <w:r w:rsidRPr="00755934">
              <w:rPr>
                <w:rFonts w:ascii="宋体" w:hint="eastAsia"/>
                <w:color w:val="000000"/>
                <w:kern w:val="0"/>
                <w:sz w:val="24"/>
                <w:szCs w:val="24"/>
              </w:rPr>
              <w:t>6个月</w:t>
            </w:r>
          </w:p>
        </w:tc>
      </w:tr>
    </w:tbl>
    <w:p w:rsidR="00BD0199" w:rsidRPr="009F69CE" w:rsidRDefault="00BD0199" w:rsidP="00E26272">
      <w:pPr>
        <w:widowControl/>
        <w:spacing w:line="360" w:lineRule="auto"/>
        <w:jc w:val="left"/>
        <w:rPr>
          <w:rFonts w:ascii="宋体"/>
          <w:color w:val="000000"/>
          <w:kern w:val="0"/>
          <w:sz w:val="24"/>
          <w:szCs w:val="24"/>
        </w:rPr>
      </w:pPr>
    </w:p>
    <w:p w:rsidR="00BD0199" w:rsidRPr="00E97405" w:rsidRDefault="00290297" w:rsidP="009F69CE">
      <w:pPr>
        <w:widowControl/>
        <w:spacing w:line="360" w:lineRule="auto"/>
        <w:ind w:firstLineChars="200" w:firstLine="480"/>
        <w:jc w:val="left"/>
        <w:rPr>
          <w:rFonts w:ascii="宋体"/>
          <w:color w:val="000000"/>
          <w:kern w:val="0"/>
          <w:sz w:val="24"/>
          <w:szCs w:val="24"/>
        </w:rPr>
      </w:pPr>
      <w:r>
        <w:rPr>
          <w:rFonts w:ascii="宋体" w:hint="eastAsia"/>
          <w:color w:val="000000"/>
          <w:kern w:val="0"/>
          <w:sz w:val="24"/>
          <w:szCs w:val="24"/>
        </w:rPr>
        <w:t>注：基金资产净值、账面价值为</w:t>
      </w:r>
      <w:r w:rsidR="002E01FE">
        <w:rPr>
          <w:rFonts w:ascii="宋体" w:hint="eastAsia"/>
          <w:color w:val="000000"/>
          <w:kern w:val="0"/>
          <w:sz w:val="24"/>
          <w:szCs w:val="24"/>
        </w:rPr>
        <w:t>20</w:t>
      </w:r>
      <w:r w:rsidR="002E01FE">
        <w:rPr>
          <w:rFonts w:ascii="宋体"/>
          <w:color w:val="000000"/>
          <w:kern w:val="0"/>
          <w:sz w:val="24"/>
          <w:szCs w:val="24"/>
        </w:rPr>
        <w:t>20</w:t>
      </w:r>
      <w:r>
        <w:rPr>
          <w:rFonts w:ascii="宋体" w:hint="eastAsia"/>
          <w:color w:val="000000"/>
          <w:kern w:val="0"/>
          <w:sz w:val="24"/>
          <w:szCs w:val="24"/>
        </w:rPr>
        <w:t>年</w:t>
      </w:r>
      <w:r w:rsidR="00091A9D">
        <w:rPr>
          <w:rFonts w:ascii="宋体"/>
          <w:color w:val="000000"/>
          <w:kern w:val="0"/>
          <w:sz w:val="24"/>
          <w:szCs w:val="24"/>
        </w:rPr>
        <w:t>9</w:t>
      </w:r>
      <w:r>
        <w:rPr>
          <w:rFonts w:ascii="宋体" w:hint="eastAsia"/>
          <w:color w:val="000000"/>
          <w:kern w:val="0"/>
          <w:sz w:val="24"/>
          <w:szCs w:val="24"/>
        </w:rPr>
        <w:t>月</w:t>
      </w:r>
      <w:r w:rsidR="00A72BBE">
        <w:rPr>
          <w:rFonts w:ascii="宋体"/>
          <w:color w:val="000000"/>
          <w:kern w:val="0"/>
          <w:sz w:val="24"/>
          <w:szCs w:val="24"/>
        </w:rPr>
        <w:t>15</w:t>
      </w:r>
      <w:r>
        <w:rPr>
          <w:rFonts w:ascii="宋体" w:hint="eastAsia"/>
          <w:color w:val="000000"/>
          <w:kern w:val="0"/>
          <w:sz w:val="24"/>
          <w:szCs w:val="24"/>
        </w:rPr>
        <w:t>日数据。</w:t>
      </w:r>
    </w:p>
    <w:p w:rsidR="00BD0199" w:rsidRPr="009F69CE" w:rsidRDefault="00BD0199" w:rsidP="009F69CE">
      <w:pPr>
        <w:widowControl/>
        <w:spacing w:line="360" w:lineRule="auto"/>
        <w:ind w:firstLineChars="200" w:firstLine="480"/>
        <w:jc w:val="left"/>
        <w:rPr>
          <w:rFonts w:ascii="宋体"/>
          <w:kern w:val="0"/>
          <w:sz w:val="24"/>
          <w:szCs w:val="24"/>
        </w:rPr>
      </w:pPr>
      <w:r w:rsidRPr="009F69CE">
        <w:rPr>
          <w:rFonts w:ascii="宋体" w:hAnsi="宋体" w:cs="宋体" w:hint="eastAsia"/>
          <w:kern w:val="0"/>
          <w:sz w:val="24"/>
          <w:szCs w:val="24"/>
        </w:rPr>
        <w:t>特此公告。</w:t>
      </w:r>
      <w:r w:rsidRPr="009F69CE">
        <w:rPr>
          <w:rFonts w:ascii="宋体" w:hAnsi="宋体" w:cs="宋体"/>
          <w:kern w:val="0"/>
          <w:sz w:val="24"/>
          <w:szCs w:val="24"/>
        </w:rPr>
        <w:t xml:space="preserve"> </w:t>
      </w:r>
    </w:p>
    <w:p w:rsidR="00BD0199" w:rsidRPr="009F69CE" w:rsidRDefault="00BD0199" w:rsidP="009F69CE">
      <w:pPr>
        <w:widowControl/>
        <w:spacing w:line="360" w:lineRule="auto"/>
        <w:ind w:firstLineChars="200" w:firstLine="480"/>
        <w:jc w:val="left"/>
        <w:rPr>
          <w:rFonts w:ascii="宋体"/>
          <w:kern w:val="0"/>
          <w:sz w:val="24"/>
          <w:szCs w:val="24"/>
        </w:rPr>
      </w:pPr>
      <w:bookmarkStart w:id="0" w:name="_GoBack"/>
      <w:bookmarkEnd w:id="0"/>
    </w:p>
    <w:p w:rsidR="00BD0199" w:rsidRPr="009F69CE" w:rsidRDefault="00BD0199" w:rsidP="009F69CE">
      <w:pPr>
        <w:widowControl/>
        <w:spacing w:line="360" w:lineRule="auto"/>
        <w:jc w:val="right"/>
        <w:rPr>
          <w:rFonts w:ascii="宋体" w:hAnsi="宋体" w:cs="宋体"/>
          <w:kern w:val="0"/>
          <w:sz w:val="24"/>
          <w:szCs w:val="24"/>
        </w:rPr>
      </w:pPr>
      <w:r w:rsidRPr="009F69CE">
        <w:rPr>
          <w:rFonts w:ascii="宋体" w:hAnsi="宋体" w:cs="宋体" w:hint="eastAsia"/>
          <w:kern w:val="0"/>
          <w:sz w:val="24"/>
          <w:szCs w:val="24"/>
        </w:rPr>
        <w:t>工银瑞信基金管理有限公司</w:t>
      </w:r>
      <w:r w:rsidRPr="009F69CE">
        <w:rPr>
          <w:rFonts w:ascii="宋体" w:hAnsi="宋体" w:cs="宋体"/>
          <w:kern w:val="0"/>
          <w:sz w:val="24"/>
          <w:szCs w:val="24"/>
        </w:rPr>
        <w:t xml:space="preserve"> </w:t>
      </w:r>
    </w:p>
    <w:p w:rsidR="000B01E1" w:rsidRDefault="002E01FE" w:rsidP="004E24AD">
      <w:pPr>
        <w:widowControl/>
        <w:spacing w:line="360" w:lineRule="auto"/>
        <w:jc w:val="right"/>
        <w:rPr>
          <w:rFonts w:ascii="宋体" w:hAnsi="宋体" w:cs="宋体"/>
          <w:kern w:val="0"/>
          <w:sz w:val="24"/>
          <w:szCs w:val="24"/>
        </w:rPr>
      </w:pPr>
      <w:r>
        <w:rPr>
          <w:rFonts w:ascii="宋体" w:hAnsi="宋体" w:cs="宋体" w:hint="eastAsia"/>
          <w:kern w:val="0"/>
          <w:sz w:val="24"/>
          <w:szCs w:val="24"/>
        </w:rPr>
        <w:t>二零二零</w:t>
      </w:r>
      <w:r w:rsidR="00BD0199" w:rsidRPr="009F69CE">
        <w:rPr>
          <w:rFonts w:ascii="宋体" w:hAnsi="宋体" w:cs="宋体" w:hint="eastAsia"/>
          <w:kern w:val="0"/>
          <w:sz w:val="24"/>
          <w:szCs w:val="24"/>
        </w:rPr>
        <w:t>年</w:t>
      </w:r>
      <w:r w:rsidR="00091A9D">
        <w:rPr>
          <w:rFonts w:ascii="宋体" w:hAnsi="宋体" w:cs="宋体" w:hint="eastAsia"/>
          <w:kern w:val="0"/>
          <w:sz w:val="24"/>
          <w:szCs w:val="24"/>
        </w:rPr>
        <w:t>九</w:t>
      </w:r>
      <w:r w:rsidR="00005863">
        <w:rPr>
          <w:rFonts w:ascii="宋体" w:hAnsi="宋体" w:cs="宋体" w:hint="eastAsia"/>
          <w:kern w:val="0"/>
          <w:sz w:val="24"/>
          <w:szCs w:val="24"/>
        </w:rPr>
        <w:t>月</w:t>
      </w:r>
      <w:r w:rsidR="00A42717">
        <w:rPr>
          <w:rFonts w:ascii="宋体" w:hAnsi="宋体" w:cs="宋体" w:hint="eastAsia"/>
          <w:kern w:val="0"/>
          <w:sz w:val="24"/>
          <w:szCs w:val="24"/>
        </w:rPr>
        <w:t>十</w:t>
      </w:r>
      <w:r w:rsidR="006A259E">
        <w:rPr>
          <w:rFonts w:ascii="宋体" w:hAnsi="宋体" w:cs="宋体" w:hint="eastAsia"/>
          <w:kern w:val="0"/>
          <w:sz w:val="24"/>
          <w:szCs w:val="24"/>
        </w:rPr>
        <w:t>七</w:t>
      </w:r>
      <w:r w:rsidR="00653E56">
        <w:rPr>
          <w:rFonts w:ascii="宋体" w:hAnsi="宋体" w:cs="宋体" w:hint="eastAsia"/>
          <w:kern w:val="0"/>
          <w:sz w:val="24"/>
          <w:szCs w:val="24"/>
        </w:rPr>
        <w:t>日</w:t>
      </w:r>
    </w:p>
    <w:sectPr w:rsidR="000B01E1" w:rsidSect="00E26272">
      <w:pgSz w:w="11906" w:h="16838"/>
      <w:pgMar w:top="1440" w:right="851"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D4" w:rsidRDefault="00DF47D4" w:rsidP="00B15947">
      <w:r>
        <w:separator/>
      </w:r>
    </w:p>
  </w:endnote>
  <w:endnote w:type="continuationSeparator" w:id="0">
    <w:p w:rsidR="00DF47D4" w:rsidRDefault="00DF47D4" w:rsidP="00B15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D4" w:rsidRDefault="00DF47D4" w:rsidP="00B15947">
      <w:r>
        <w:separator/>
      </w:r>
    </w:p>
  </w:footnote>
  <w:footnote w:type="continuationSeparator" w:id="0">
    <w:p w:rsidR="00DF47D4" w:rsidRDefault="00DF47D4" w:rsidP="00B159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0638"/>
    <w:rsid w:val="00005863"/>
    <w:rsid w:val="00033425"/>
    <w:rsid w:val="00047FF8"/>
    <w:rsid w:val="000773B1"/>
    <w:rsid w:val="00090A18"/>
    <w:rsid w:val="00091A9D"/>
    <w:rsid w:val="000B01E1"/>
    <w:rsid w:val="000B48DF"/>
    <w:rsid w:val="000B49B1"/>
    <w:rsid w:val="00182B7E"/>
    <w:rsid w:val="00190B83"/>
    <w:rsid w:val="00191D58"/>
    <w:rsid w:val="001A1444"/>
    <w:rsid w:val="001C3AB6"/>
    <w:rsid w:val="001E055D"/>
    <w:rsid w:val="0023036E"/>
    <w:rsid w:val="0023356B"/>
    <w:rsid w:val="002454D0"/>
    <w:rsid w:val="00256E1F"/>
    <w:rsid w:val="00267569"/>
    <w:rsid w:val="00272E75"/>
    <w:rsid w:val="00290297"/>
    <w:rsid w:val="002A0638"/>
    <w:rsid w:val="002B72B2"/>
    <w:rsid w:val="002E01FE"/>
    <w:rsid w:val="002F0EB5"/>
    <w:rsid w:val="002F135E"/>
    <w:rsid w:val="00302700"/>
    <w:rsid w:val="00315CC7"/>
    <w:rsid w:val="003174D2"/>
    <w:rsid w:val="00324290"/>
    <w:rsid w:val="00325B26"/>
    <w:rsid w:val="003277BF"/>
    <w:rsid w:val="00327989"/>
    <w:rsid w:val="003415CF"/>
    <w:rsid w:val="00342714"/>
    <w:rsid w:val="003740DB"/>
    <w:rsid w:val="00387B61"/>
    <w:rsid w:val="003B24CF"/>
    <w:rsid w:val="003C4BF4"/>
    <w:rsid w:val="003E3179"/>
    <w:rsid w:val="00401347"/>
    <w:rsid w:val="004110B6"/>
    <w:rsid w:val="0041169C"/>
    <w:rsid w:val="00447072"/>
    <w:rsid w:val="00447371"/>
    <w:rsid w:val="00447CC2"/>
    <w:rsid w:val="00481926"/>
    <w:rsid w:val="004C4B42"/>
    <w:rsid w:val="004E1FBF"/>
    <w:rsid w:val="004E24AD"/>
    <w:rsid w:val="00510F49"/>
    <w:rsid w:val="005119B2"/>
    <w:rsid w:val="00515111"/>
    <w:rsid w:val="0053390E"/>
    <w:rsid w:val="005379D9"/>
    <w:rsid w:val="0054025D"/>
    <w:rsid w:val="005478D8"/>
    <w:rsid w:val="00547DD7"/>
    <w:rsid w:val="0055222B"/>
    <w:rsid w:val="00555AE8"/>
    <w:rsid w:val="00563E30"/>
    <w:rsid w:val="0056450F"/>
    <w:rsid w:val="0059498D"/>
    <w:rsid w:val="005B06D6"/>
    <w:rsid w:val="005B525E"/>
    <w:rsid w:val="005D578D"/>
    <w:rsid w:val="006157BF"/>
    <w:rsid w:val="0062787D"/>
    <w:rsid w:val="00634D56"/>
    <w:rsid w:val="006374C7"/>
    <w:rsid w:val="006401DC"/>
    <w:rsid w:val="00642E7B"/>
    <w:rsid w:val="006473B8"/>
    <w:rsid w:val="00653E56"/>
    <w:rsid w:val="0066024B"/>
    <w:rsid w:val="006662BF"/>
    <w:rsid w:val="00677C0E"/>
    <w:rsid w:val="006963F6"/>
    <w:rsid w:val="006A259E"/>
    <w:rsid w:val="006C1507"/>
    <w:rsid w:val="006D3803"/>
    <w:rsid w:val="006F133E"/>
    <w:rsid w:val="006F2500"/>
    <w:rsid w:val="006F27C4"/>
    <w:rsid w:val="00713C74"/>
    <w:rsid w:val="007308B9"/>
    <w:rsid w:val="007750B8"/>
    <w:rsid w:val="00776E78"/>
    <w:rsid w:val="007A64B1"/>
    <w:rsid w:val="007B7CE4"/>
    <w:rsid w:val="007C54A6"/>
    <w:rsid w:val="007D41BE"/>
    <w:rsid w:val="00804C32"/>
    <w:rsid w:val="008146C5"/>
    <w:rsid w:val="00822540"/>
    <w:rsid w:val="00862E11"/>
    <w:rsid w:val="00892BD0"/>
    <w:rsid w:val="008A2E23"/>
    <w:rsid w:val="008A51A4"/>
    <w:rsid w:val="008A5D78"/>
    <w:rsid w:val="008C1083"/>
    <w:rsid w:val="008D1705"/>
    <w:rsid w:val="008D50DC"/>
    <w:rsid w:val="008F2AFD"/>
    <w:rsid w:val="009161CD"/>
    <w:rsid w:val="00983436"/>
    <w:rsid w:val="009A05B5"/>
    <w:rsid w:val="009A744A"/>
    <w:rsid w:val="009C261A"/>
    <w:rsid w:val="009C58BA"/>
    <w:rsid w:val="009E2A0E"/>
    <w:rsid w:val="009F69CE"/>
    <w:rsid w:val="00A01A0E"/>
    <w:rsid w:val="00A33DDF"/>
    <w:rsid w:val="00A34456"/>
    <w:rsid w:val="00A42717"/>
    <w:rsid w:val="00A7033E"/>
    <w:rsid w:val="00A72BBE"/>
    <w:rsid w:val="00A75B21"/>
    <w:rsid w:val="00AA3ACE"/>
    <w:rsid w:val="00AE64B4"/>
    <w:rsid w:val="00AF747A"/>
    <w:rsid w:val="00B15947"/>
    <w:rsid w:val="00B71ABC"/>
    <w:rsid w:val="00BB022A"/>
    <w:rsid w:val="00BD0199"/>
    <w:rsid w:val="00BE601F"/>
    <w:rsid w:val="00C039FA"/>
    <w:rsid w:val="00C12B71"/>
    <w:rsid w:val="00C20633"/>
    <w:rsid w:val="00C25EAD"/>
    <w:rsid w:val="00C313C5"/>
    <w:rsid w:val="00C31DA4"/>
    <w:rsid w:val="00C71FAC"/>
    <w:rsid w:val="00CB1AE3"/>
    <w:rsid w:val="00D04230"/>
    <w:rsid w:val="00D70B53"/>
    <w:rsid w:val="00DA765F"/>
    <w:rsid w:val="00DB3AA1"/>
    <w:rsid w:val="00DD4269"/>
    <w:rsid w:val="00DD6AFF"/>
    <w:rsid w:val="00DD6F3C"/>
    <w:rsid w:val="00DE1F74"/>
    <w:rsid w:val="00DF47D4"/>
    <w:rsid w:val="00E1019E"/>
    <w:rsid w:val="00E23344"/>
    <w:rsid w:val="00E238E4"/>
    <w:rsid w:val="00E26272"/>
    <w:rsid w:val="00E264CE"/>
    <w:rsid w:val="00E51242"/>
    <w:rsid w:val="00E56092"/>
    <w:rsid w:val="00E67D1A"/>
    <w:rsid w:val="00E7188C"/>
    <w:rsid w:val="00E76520"/>
    <w:rsid w:val="00E92D46"/>
    <w:rsid w:val="00E97405"/>
    <w:rsid w:val="00EA3A4B"/>
    <w:rsid w:val="00EB7827"/>
    <w:rsid w:val="00EE1393"/>
    <w:rsid w:val="00F161CC"/>
    <w:rsid w:val="00F17E4E"/>
    <w:rsid w:val="00F2556B"/>
    <w:rsid w:val="00F30B30"/>
    <w:rsid w:val="00F62366"/>
    <w:rsid w:val="00F905D3"/>
    <w:rsid w:val="00FB760B"/>
    <w:rsid w:val="00FF14E6"/>
    <w:rsid w:val="00FF5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6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C1507"/>
    <w:rPr>
      <w:color w:val="000000"/>
      <w:u w:val="none"/>
      <w:effect w:val="none"/>
    </w:rPr>
  </w:style>
  <w:style w:type="paragraph" w:styleId="a4">
    <w:name w:val="Normal (Web)"/>
    <w:basedOn w:val="a"/>
    <w:uiPriority w:val="99"/>
    <w:rsid w:val="006C1507"/>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rsid w:val="00FF5C8E"/>
    <w:rPr>
      <w:sz w:val="18"/>
      <w:szCs w:val="18"/>
    </w:rPr>
  </w:style>
  <w:style w:type="character" w:customStyle="1" w:styleId="Char">
    <w:name w:val="批注框文本 Char"/>
    <w:basedOn w:val="a0"/>
    <w:link w:val="a5"/>
    <w:uiPriority w:val="99"/>
    <w:semiHidden/>
    <w:rsid w:val="00DE0523"/>
    <w:rPr>
      <w:sz w:val="0"/>
      <w:szCs w:val="0"/>
    </w:rPr>
  </w:style>
  <w:style w:type="paragraph" w:styleId="a6">
    <w:name w:val="header"/>
    <w:basedOn w:val="a"/>
    <w:link w:val="Char0"/>
    <w:uiPriority w:val="99"/>
    <w:rsid w:val="00B159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B15947"/>
    <w:rPr>
      <w:kern w:val="2"/>
      <w:sz w:val="18"/>
      <w:szCs w:val="18"/>
    </w:rPr>
  </w:style>
  <w:style w:type="paragraph" w:styleId="a7">
    <w:name w:val="footer"/>
    <w:basedOn w:val="a"/>
    <w:link w:val="Char1"/>
    <w:uiPriority w:val="99"/>
    <w:rsid w:val="00B15947"/>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B15947"/>
    <w:rPr>
      <w:kern w:val="2"/>
      <w:sz w:val="18"/>
      <w:szCs w:val="18"/>
    </w:rPr>
  </w:style>
  <w:style w:type="paragraph" w:styleId="a8">
    <w:name w:val="Date"/>
    <w:basedOn w:val="a"/>
    <w:next w:val="a"/>
    <w:link w:val="Char2"/>
    <w:uiPriority w:val="99"/>
    <w:semiHidden/>
    <w:unhideWhenUsed/>
    <w:rsid w:val="005478D8"/>
    <w:pPr>
      <w:ind w:leftChars="2500" w:left="100"/>
    </w:pPr>
  </w:style>
  <w:style w:type="character" w:customStyle="1" w:styleId="Char2">
    <w:name w:val="日期 Char"/>
    <w:basedOn w:val="a0"/>
    <w:link w:val="a8"/>
    <w:uiPriority w:val="99"/>
    <w:semiHidden/>
    <w:rsid w:val="005478D8"/>
    <w:rPr>
      <w:kern w:val="2"/>
      <w:sz w:val="21"/>
      <w:szCs w:val="21"/>
    </w:rPr>
  </w:style>
  <w:style w:type="paragraph" w:customStyle="1" w:styleId="Default">
    <w:name w:val="Default"/>
    <w:rsid w:val="003B24CF"/>
    <w:pPr>
      <w:widowControl w:val="0"/>
      <w:autoSpaceDE w:val="0"/>
      <w:autoSpaceDN w:val="0"/>
      <w:adjustRightInd w:val="0"/>
    </w:pPr>
    <w:rPr>
      <w:color w:val="000000"/>
      <w:sz w:val="24"/>
      <w:szCs w:val="24"/>
    </w:rPr>
  </w:style>
  <w:style w:type="table" w:styleId="a9">
    <w:name w:val="Table Grid"/>
    <w:basedOn w:val="a1"/>
    <w:uiPriority w:val="59"/>
    <w:rsid w:val="00E26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94554">
      <w:bodyDiv w:val="1"/>
      <w:marLeft w:val="0"/>
      <w:marRight w:val="0"/>
      <w:marTop w:val="0"/>
      <w:marBottom w:val="0"/>
      <w:divBdr>
        <w:top w:val="none" w:sz="0" w:space="0" w:color="auto"/>
        <w:left w:val="none" w:sz="0" w:space="0" w:color="auto"/>
        <w:bottom w:val="none" w:sz="0" w:space="0" w:color="auto"/>
        <w:right w:val="none" w:sz="0" w:space="0" w:color="auto"/>
      </w:divBdr>
    </w:div>
    <w:div w:id="87585350">
      <w:bodyDiv w:val="1"/>
      <w:marLeft w:val="0"/>
      <w:marRight w:val="0"/>
      <w:marTop w:val="0"/>
      <w:marBottom w:val="0"/>
      <w:divBdr>
        <w:top w:val="none" w:sz="0" w:space="0" w:color="auto"/>
        <w:left w:val="none" w:sz="0" w:space="0" w:color="auto"/>
        <w:bottom w:val="none" w:sz="0" w:space="0" w:color="auto"/>
        <w:right w:val="none" w:sz="0" w:space="0" w:color="auto"/>
      </w:divBdr>
    </w:div>
    <w:div w:id="185169706">
      <w:bodyDiv w:val="1"/>
      <w:marLeft w:val="0"/>
      <w:marRight w:val="0"/>
      <w:marTop w:val="0"/>
      <w:marBottom w:val="0"/>
      <w:divBdr>
        <w:top w:val="none" w:sz="0" w:space="0" w:color="auto"/>
        <w:left w:val="none" w:sz="0" w:space="0" w:color="auto"/>
        <w:bottom w:val="none" w:sz="0" w:space="0" w:color="auto"/>
        <w:right w:val="none" w:sz="0" w:space="0" w:color="auto"/>
      </w:divBdr>
    </w:div>
    <w:div w:id="234781184">
      <w:bodyDiv w:val="1"/>
      <w:marLeft w:val="0"/>
      <w:marRight w:val="0"/>
      <w:marTop w:val="0"/>
      <w:marBottom w:val="0"/>
      <w:divBdr>
        <w:top w:val="none" w:sz="0" w:space="0" w:color="auto"/>
        <w:left w:val="none" w:sz="0" w:space="0" w:color="auto"/>
        <w:bottom w:val="none" w:sz="0" w:space="0" w:color="auto"/>
        <w:right w:val="none" w:sz="0" w:space="0" w:color="auto"/>
      </w:divBdr>
    </w:div>
    <w:div w:id="342706271">
      <w:bodyDiv w:val="1"/>
      <w:marLeft w:val="0"/>
      <w:marRight w:val="0"/>
      <w:marTop w:val="0"/>
      <w:marBottom w:val="0"/>
      <w:divBdr>
        <w:top w:val="none" w:sz="0" w:space="0" w:color="auto"/>
        <w:left w:val="none" w:sz="0" w:space="0" w:color="auto"/>
        <w:bottom w:val="none" w:sz="0" w:space="0" w:color="auto"/>
        <w:right w:val="none" w:sz="0" w:space="0" w:color="auto"/>
      </w:divBdr>
    </w:div>
    <w:div w:id="435835108">
      <w:bodyDiv w:val="1"/>
      <w:marLeft w:val="0"/>
      <w:marRight w:val="0"/>
      <w:marTop w:val="0"/>
      <w:marBottom w:val="0"/>
      <w:divBdr>
        <w:top w:val="none" w:sz="0" w:space="0" w:color="auto"/>
        <w:left w:val="none" w:sz="0" w:space="0" w:color="auto"/>
        <w:bottom w:val="none" w:sz="0" w:space="0" w:color="auto"/>
        <w:right w:val="none" w:sz="0" w:space="0" w:color="auto"/>
      </w:divBdr>
    </w:div>
    <w:div w:id="467206742">
      <w:bodyDiv w:val="1"/>
      <w:marLeft w:val="0"/>
      <w:marRight w:val="0"/>
      <w:marTop w:val="0"/>
      <w:marBottom w:val="0"/>
      <w:divBdr>
        <w:top w:val="none" w:sz="0" w:space="0" w:color="auto"/>
        <w:left w:val="none" w:sz="0" w:space="0" w:color="auto"/>
        <w:bottom w:val="none" w:sz="0" w:space="0" w:color="auto"/>
        <w:right w:val="none" w:sz="0" w:space="0" w:color="auto"/>
      </w:divBdr>
    </w:div>
    <w:div w:id="562058202">
      <w:bodyDiv w:val="1"/>
      <w:marLeft w:val="0"/>
      <w:marRight w:val="0"/>
      <w:marTop w:val="0"/>
      <w:marBottom w:val="0"/>
      <w:divBdr>
        <w:top w:val="none" w:sz="0" w:space="0" w:color="auto"/>
        <w:left w:val="none" w:sz="0" w:space="0" w:color="auto"/>
        <w:bottom w:val="none" w:sz="0" w:space="0" w:color="auto"/>
        <w:right w:val="none" w:sz="0" w:space="0" w:color="auto"/>
      </w:divBdr>
    </w:div>
    <w:div w:id="614093540">
      <w:bodyDiv w:val="1"/>
      <w:marLeft w:val="0"/>
      <w:marRight w:val="0"/>
      <w:marTop w:val="0"/>
      <w:marBottom w:val="0"/>
      <w:divBdr>
        <w:top w:val="none" w:sz="0" w:space="0" w:color="auto"/>
        <w:left w:val="none" w:sz="0" w:space="0" w:color="auto"/>
        <w:bottom w:val="none" w:sz="0" w:space="0" w:color="auto"/>
        <w:right w:val="none" w:sz="0" w:space="0" w:color="auto"/>
      </w:divBdr>
    </w:div>
    <w:div w:id="676008588">
      <w:bodyDiv w:val="1"/>
      <w:marLeft w:val="0"/>
      <w:marRight w:val="0"/>
      <w:marTop w:val="0"/>
      <w:marBottom w:val="0"/>
      <w:divBdr>
        <w:top w:val="none" w:sz="0" w:space="0" w:color="auto"/>
        <w:left w:val="none" w:sz="0" w:space="0" w:color="auto"/>
        <w:bottom w:val="none" w:sz="0" w:space="0" w:color="auto"/>
        <w:right w:val="none" w:sz="0" w:space="0" w:color="auto"/>
      </w:divBdr>
    </w:div>
    <w:div w:id="713428806">
      <w:bodyDiv w:val="1"/>
      <w:marLeft w:val="0"/>
      <w:marRight w:val="0"/>
      <w:marTop w:val="0"/>
      <w:marBottom w:val="0"/>
      <w:divBdr>
        <w:top w:val="none" w:sz="0" w:space="0" w:color="auto"/>
        <w:left w:val="none" w:sz="0" w:space="0" w:color="auto"/>
        <w:bottom w:val="none" w:sz="0" w:space="0" w:color="auto"/>
        <w:right w:val="none" w:sz="0" w:space="0" w:color="auto"/>
      </w:divBdr>
    </w:div>
    <w:div w:id="744955940">
      <w:bodyDiv w:val="1"/>
      <w:marLeft w:val="0"/>
      <w:marRight w:val="0"/>
      <w:marTop w:val="0"/>
      <w:marBottom w:val="0"/>
      <w:divBdr>
        <w:top w:val="none" w:sz="0" w:space="0" w:color="auto"/>
        <w:left w:val="none" w:sz="0" w:space="0" w:color="auto"/>
        <w:bottom w:val="none" w:sz="0" w:space="0" w:color="auto"/>
        <w:right w:val="none" w:sz="0" w:space="0" w:color="auto"/>
      </w:divBdr>
    </w:div>
    <w:div w:id="787240559">
      <w:bodyDiv w:val="1"/>
      <w:marLeft w:val="0"/>
      <w:marRight w:val="0"/>
      <w:marTop w:val="0"/>
      <w:marBottom w:val="0"/>
      <w:divBdr>
        <w:top w:val="none" w:sz="0" w:space="0" w:color="auto"/>
        <w:left w:val="none" w:sz="0" w:space="0" w:color="auto"/>
        <w:bottom w:val="none" w:sz="0" w:space="0" w:color="auto"/>
        <w:right w:val="none" w:sz="0" w:space="0" w:color="auto"/>
      </w:divBdr>
    </w:div>
    <w:div w:id="820854032">
      <w:bodyDiv w:val="1"/>
      <w:marLeft w:val="0"/>
      <w:marRight w:val="0"/>
      <w:marTop w:val="0"/>
      <w:marBottom w:val="0"/>
      <w:divBdr>
        <w:top w:val="none" w:sz="0" w:space="0" w:color="auto"/>
        <w:left w:val="none" w:sz="0" w:space="0" w:color="auto"/>
        <w:bottom w:val="none" w:sz="0" w:space="0" w:color="auto"/>
        <w:right w:val="none" w:sz="0" w:space="0" w:color="auto"/>
      </w:divBdr>
    </w:div>
    <w:div w:id="823862140">
      <w:bodyDiv w:val="1"/>
      <w:marLeft w:val="0"/>
      <w:marRight w:val="0"/>
      <w:marTop w:val="0"/>
      <w:marBottom w:val="0"/>
      <w:divBdr>
        <w:top w:val="none" w:sz="0" w:space="0" w:color="auto"/>
        <w:left w:val="none" w:sz="0" w:space="0" w:color="auto"/>
        <w:bottom w:val="none" w:sz="0" w:space="0" w:color="auto"/>
        <w:right w:val="none" w:sz="0" w:space="0" w:color="auto"/>
      </w:divBdr>
    </w:div>
    <w:div w:id="862401316">
      <w:bodyDiv w:val="1"/>
      <w:marLeft w:val="0"/>
      <w:marRight w:val="0"/>
      <w:marTop w:val="0"/>
      <w:marBottom w:val="0"/>
      <w:divBdr>
        <w:top w:val="none" w:sz="0" w:space="0" w:color="auto"/>
        <w:left w:val="none" w:sz="0" w:space="0" w:color="auto"/>
        <w:bottom w:val="none" w:sz="0" w:space="0" w:color="auto"/>
        <w:right w:val="none" w:sz="0" w:space="0" w:color="auto"/>
      </w:divBdr>
    </w:div>
    <w:div w:id="871766549">
      <w:bodyDiv w:val="1"/>
      <w:marLeft w:val="0"/>
      <w:marRight w:val="0"/>
      <w:marTop w:val="0"/>
      <w:marBottom w:val="0"/>
      <w:divBdr>
        <w:top w:val="none" w:sz="0" w:space="0" w:color="auto"/>
        <w:left w:val="none" w:sz="0" w:space="0" w:color="auto"/>
        <w:bottom w:val="none" w:sz="0" w:space="0" w:color="auto"/>
        <w:right w:val="none" w:sz="0" w:space="0" w:color="auto"/>
      </w:divBdr>
    </w:div>
    <w:div w:id="906458977">
      <w:bodyDiv w:val="1"/>
      <w:marLeft w:val="0"/>
      <w:marRight w:val="0"/>
      <w:marTop w:val="0"/>
      <w:marBottom w:val="0"/>
      <w:divBdr>
        <w:top w:val="none" w:sz="0" w:space="0" w:color="auto"/>
        <w:left w:val="none" w:sz="0" w:space="0" w:color="auto"/>
        <w:bottom w:val="none" w:sz="0" w:space="0" w:color="auto"/>
        <w:right w:val="none" w:sz="0" w:space="0" w:color="auto"/>
      </w:divBdr>
    </w:div>
    <w:div w:id="908080969">
      <w:bodyDiv w:val="1"/>
      <w:marLeft w:val="0"/>
      <w:marRight w:val="0"/>
      <w:marTop w:val="0"/>
      <w:marBottom w:val="0"/>
      <w:divBdr>
        <w:top w:val="none" w:sz="0" w:space="0" w:color="auto"/>
        <w:left w:val="none" w:sz="0" w:space="0" w:color="auto"/>
        <w:bottom w:val="none" w:sz="0" w:space="0" w:color="auto"/>
        <w:right w:val="none" w:sz="0" w:space="0" w:color="auto"/>
      </w:divBdr>
    </w:div>
    <w:div w:id="976566628">
      <w:bodyDiv w:val="1"/>
      <w:marLeft w:val="0"/>
      <w:marRight w:val="0"/>
      <w:marTop w:val="0"/>
      <w:marBottom w:val="0"/>
      <w:divBdr>
        <w:top w:val="none" w:sz="0" w:space="0" w:color="auto"/>
        <w:left w:val="none" w:sz="0" w:space="0" w:color="auto"/>
        <w:bottom w:val="none" w:sz="0" w:space="0" w:color="auto"/>
        <w:right w:val="none" w:sz="0" w:space="0" w:color="auto"/>
      </w:divBdr>
    </w:div>
    <w:div w:id="981426572">
      <w:bodyDiv w:val="1"/>
      <w:marLeft w:val="0"/>
      <w:marRight w:val="0"/>
      <w:marTop w:val="0"/>
      <w:marBottom w:val="0"/>
      <w:divBdr>
        <w:top w:val="none" w:sz="0" w:space="0" w:color="auto"/>
        <w:left w:val="none" w:sz="0" w:space="0" w:color="auto"/>
        <w:bottom w:val="none" w:sz="0" w:space="0" w:color="auto"/>
        <w:right w:val="none" w:sz="0" w:space="0" w:color="auto"/>
      </w:divBdr>
    </w:div>
    <w:div w:id="983704910">
      <w:bodyDiv w:val="1"/>
      <w:marLeft w:val="0"/>
      <w:marRight w:val="0"/>
      <w:marTop w:val="0"/>
      <w:marBottom w:val="0"/>
      <w:divBdr>
        <w:top w:val="none" w:sz="0" w:space="0" w:color="auto"/>
        <w:left w:val="none" w:sz="0" w:space="0" w:color="auto"/>
        <w:bottom w:val="none" w:sz="0" w:space="0" w:color="auto"/>
        <w:right w:val="none" w:sz="0" w:space="0" w:color="auto"/>
      </w:divBdr>
    </w:div>
    <w:div w:id="1034189758">
      <w:bodyDiv w:val="1"/>
      <w:marLeft w:val="0"/>
      <w:marRight w:val="0"/>
      <w:marTop w:val="0"/>
      <w:marBottom w:val="0"/>
      <w:divBdr>
        <w:top w:val="none" w:sz="0" w:space="0" w:color="auto"/>
        <w:left w:val="none" w:sz="0" w:space="0" w:color="auto"/>
        <w:bottom w:val="none" w:sz="0" w:space="0" w:color="auto"/>
        <w:right w:val="none" w:sz="0" w:space="0" w:color="auto"/>
      </w:divBdr>
    </w:div>
    <w:div w:id="1112629616">
      <w:bodyDiv w:val="1"/>
      <w:marLeft w:val="0"/>
      <w:marRight w:val="0"/>
      <w:marTop w:val="0"/>
      <w:marBottom w:val="0"/>
      <w:divBdr>
        <w:top w:val="none" w:sz="0" w:space="0" w:color="auto"/>
        <w:left w:val="none" w:sz="0" w:space="0" w:color="auto"/>
        <w:bottom w:val="none" w:sz="0" w:space="0" w:color="auto"/>
        <w:right w:val="none" w:sz="0" w:space="0" w:color="auto"/>
      </w:divBdr>
    </w:div>
    <w:div w:id="1158427299">
      <w:bodyDiv w:val="1"/>
      <w:marLeft w:val="0"/>
      <w:marRight w:val="0"/>
      <w:marTop w:val="0"/>
      <w:marBottom w:val="0"/>
      <w:divBdr>
        <w:top w:val="none" w:sz="0" w:space="0" w:color="auto"/>
        <w:left w:val="none" w:sz="0" w:space="0" w:color="auto"/>
        <w:bottom w:val="none" w:sz="0" w:space="0" w:color="auto"/>
        <w:right w:val="none" w:sz="0" w:space="0" w:color="auto"/>
      </w:divBdr>
    </w:div>
    <w:div w:id="1229223154">
      <w:bodyDiv w:val="1"/>
      <w:marLeft w:val="0"/>
      <w:marRight w:val="0"/>
      <w:marTop w:val="0"/>
      <w:marBottom w:val="0"/>
      <w:divBdr>
        <w:top w:val="none" w:sz="0" w:space="0" w:color="auto"/>
        <w:left w:val="none" w:sz="0" w:space="0" w:color="auto"/>
        <w:bottom w:val="none" w:sz="0" w:space="0" w:color="auto"/>
        <w:right w:val="none" w:sz="0" w:space="0" w:color="auto"/>
      </w:divBdr>
    </w:div>
    <w:div w:id="1229918606">
      <w:marLeft w:val="0"/>
      <w:marRight w:val="0"/>
      <w:marTop w:val="0"/>
      <w:marBottom w:val="0"/>
      <w:divBdr>
        <w:top w:val="none" w:sz="0" w:space="0" w:color="auto"/>
        <w:left w:val="none" w:sz="0" w:space="0" w:color="auto"/>
        <w:bottom w:val="none" w:sz="0" w:space="0" w:color="auto"/>
        <w:right w:val="none" w:sz="0" w:space="0" w:color="auto"/>
      </w:divBdr>
      <w:divsChild>
        <w:div w:id="1229918608">
          <w:marLeft w:val="0"/>
          <w:marRight w:val="0"/>
          <w:marTop w:val="0"/>
          <w:marBottom w:val="0"/>
          <w:divBdr>
            <w:top w:val="none" w:sz="0" w:space="0" w:color="auto"/>
            <w:left w:val="none" w:sz="0" w:space="0" w:color="auto"/>
            <w:bottom w:val="none" w:sz="0" w:space="0" w:color="auto"/>
            <w:right w:val="none" w:sz="0" w:space="0" w:color="auto"/>
          </w:divBdr>
          <w:divsChild>
            <w:div w:id="1229918605">
              <w:marLeft w:val="0"/>
              <w:marRight w:val="0"/>
              <w:marTop w:val="0"/>
              <w:marBottom w:val="0"/>
              <w:divBdr>
                <w:top w:val="none" w:sz="0" w:space="0" w:color="auto"/>
                <w:left w:val="none" w:sz="0" w:space="0" w:color="auto"/>
                <w:bottom w:val="none" w:sz="0" w:space="0" w:color="auto"/>
                <w:right w:val="none" w:sz="0" w:space="0" w:color="auto"/>
              </w:divBdr>
              <w:divsChild>
                <w:div w:id="1229918609">
                  <w:marLeft w:val="0"/>
                  <w:marRight w:val="0"/>
                  <w:marTop w:val="150"/>
                  <w:marBottom w:val="150"/>
                  <w:divBdr>
                    <w:top w:val="none" w:sz="0" w:space="0" w:color="auto"/>
                    <w:left w:val="none" w:sz="0" w:space="0" w:color="auto"/>
                    <w:bottom w:val="none" w:sz="0" w:space="0" w:color="auto"/>
                    <w:right w:val="none" w:sz="0" w:space="0" w:color="auto"/>
                  </w:divBdr>
                </w:div>
              </w:divsChild>
            </w:div>
            <w:div w:id="1229918610">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229918607">
      <w:marLeft w:val="0"/>
      <w:marRight w:val="0"/>
      <w:marTop w:val="0"/>
      <w:marBottom w:val="0"/>
      <w:divBdr>
        <w:top w:val="none" w:sz="0" w:space="0" w:color="auto"/>
        <w:left w:val="none" w:sz="0" w:space="0" w:color="auto"/>
        <w:bottom w:val="none" w:sz="0" w:space="0" w:color="auto"/>
        <w:right w:val="none" w:sz="0" w:space="0" w:color="auto"/>
      </w:divBdr>
    </w:div>
    <w:div w:id="1234774619">
      <w:bodyDiv w:val="1"/>
      <w:marLeft w:val="0"/>
      <w:marRight w:val="0"/>
      <w:marTop w:val="0"/>
      <w:marBottom w:val="0"/>
      <w:divBdr>
        <w:top w:val="none" w:sz="0" w:space="0" w:color="auto"/>
        <w:left w:val="none" w:sz="0" w:space="0" w:color="auto"/>
        <w:bottom w:val="none" w:sz="0" w:space="0" w:color="auto"/>
        <w:right w:val="none" w:sz="0" w:space="0" w:color="auto"/>
      </w:divBdr>
    </w:div>
    <w:div w:id="1258519121">
      <w:bodyDiv w:val="1"/>
      <w:marLeft w:val="0"/>
      <w:marRight w:val="0"/>
      <w:marTop w:val="0"/>
      <w:marBottom w:val="0"/>
      <w:divBdr>
        <w:top w:val="none" w:sz="0" w:space="0" w:color="auto"/>
        <w:left w:val="none" w:sz="0" w:space="0" w:color="auto"/>
        <w:bottom w:val="none" w:sz="0" w:space="0" w:color="auto"/>
        <w:right w:val="none" w:sz="0" w:space="0" w:color="auto"/>
      </w:divBdr>
    </w:div>
    <w:div w:id="1321881855">
      <w:bodyDiv w:val="1"/>
      <w:marLeft w:val="0"/>
      <w:marRight w:val="0"/>
      <w:marTop w:val="0"/>
      <w:marBottom w:val="0"/>
      <w:divBdr>
        <w:top w:val="none" w:sz="0" w:space="0" w:color="auto"/>
        <w:left w:val="none" w:sz="0" w:space="0" w:color="auto"/>
        <w:bottom w:val="none" w:sz="0" w:space="0" w:color="auto"/>
        <w:right w:val="none" w:sz="0" w:space="0" w:color="auto"/>
      </w:divBdr>
    </w:div>
    <w:div w:id="1337221782">
      <w:bodyDiv w:val="1"/>
      <w:marLeft w:val="0"/>
      <w:marRight w:val="0"/>
      <w:marTop w:val="0"/>
      <w:marBottom w:val="0"/>
      <w:divBdr>
        <w:top w:val="none" w:sz="0" w:space="0" w:color="auto"/>
        <w:left w:val="none" w:sz="0" w:space="0" w:color="auto"/>
        <w:bottom w:val="none" w:sz="0" w:space="0" w:color="auto"/>
        <w:right w:val="none" w:sz="0" w:space="0" w:color="auto"/>
      </w:divBdr>
    </w:div>
    <w:div w:id="1434126908">
      <w:bodyDiv w:val="1"/>
      <w:marLeft w:val="0"/>
      <w:marRight w:val="0"/>
      <w:marTop w:val="0"/>
      <w:marBottom w:val="0"/>
      <w:divBdr>
        <w:top w:val="none" w:sz="0" w:space="0" w:color="auto"/>
        <w:left w:val="none" w:sz="0" w:space="0" w:color="auto"/>
        <w:bottom w:val="none" w:sz="0" w:space="0" w:color="auto"/>
        <w:right w:val="none" w:sz="0" w:space="0" w:color="auto"/>
      </w:divBdr>
    </w:div>
    <w:div w:id="1455320116">
      <w:bodyDiv w:val="1"/>
      <w:marLeft w:val="0"/>
      <w:marRight w:val="0"/>
      <w:marTop w:val="0"/>
      <w:marBottom w:val="0"/>
      <w:divBdr>
        <w:top w:val="none" w:sz="0" w:space="0" w:color="auto"/>
        <w:left w:val="none" w:sz="0" w:space="0" w:color="auto"/>
        <w:bottom w:val="none" w:sz="0" w:space="0" w:color="auto"/>
        <w:right w:val="none" w:sz="0" w:space="0" w:color="auto"/>
      </w:divBdr>
    </w:div>
    <w:div w:id="1536187093">
      <w:bodyDiv w:val="1"/>
      <w:marLeft w:val="0"/>
      <w:marRight w:val="0"/>
      <w:marTop w:val="0"/>
      <w:marBottom w:val="0"/>
      <w:divBdr>
        <w:top w:val="none" w:sz="0" w:space="0" w:color="auto"/>
        <w:left w:val="none" w:sz="0" w:space="0" w:color="auto"/>
        <w:bottom w:val="none" w:sz="0" w:space="0" w:color="auto"/>
        <w:right w:val="none" w:sz="0" w:space="0" w:color="auto"/>
      </w:divBdr>
    </w:div>
    <w:div w:id="1614361213">
      <w:bodyDiv w:val="1"/>
      <w:marLeft w:val="0"/>
      <w:marRight w:val="0"/>
      <w:marTop w:val="0"/>
      <w:marBottom w:val="0"/>
      <w:divBdr>
        <w:top w:val="none" w:sz="0" w:space="0" w:color="auto"/>
        <w:left w:val="none" w:sz="0" w:space="0" w:color="auto"/>
        <w:bottom w:val="none" w:sz="0" w:space="0" w:color="auto"/>
        <w:right w:val="none" w:sz="0" w:space="0" w:color="auto"/>
      </w:divBdr>
    </w:div>
    <w:div w:id="1691642185">
      <w:bodyDiv w:val="1"/>
      <w:marLeft w:val="0"/>
      <w:marRight w:val="0"/>
      <w:marTop w:val="0"/>
      <w:marBottom w:val="0"/>
      <w:divBdr>
        <w:top w:val="none" w:sz="0" w:space="0" w:color="auto"/>
        <w:left w:val="none" w:sz="0" w:space="0" w:color="auto"/>
        <w:bottom w:val="none" w:sz="0" w:space="0" w:color="auto"/>
        <w:right w:val="none" w:sz="0" w:space="0" w:color="auto"/>
      </w:divBdr>
    </w:div>
    <w:div w:id="1803573996">
      <w:bodyDiv w:val="1"/>
      <w:marLeft w:val="0"/>
      <w:marRight w:val="0"/>
      <w:marTop w:val="0"/>
      <w:marBottom w:val="0"/>
      <w:divBdr>
        <w:top w:val="none" w:sz="0" w:space="0" w:color="auto"/>
        <w:left w:val="none" w:sz="0" w:space="0" w:color="auto"/>
        <w:bottom w:val="none" w:sz="0" w:space="0" w:color="auto"/>
        <w:right w:val="none" w:sz="0" w:space="0" w:color="auto"/>
      </w:divBdr>
    </w:div>
    <w:div w:id="1818840906">
      <w:bodyDiv w:val="1"/>
      <w:marLeft w:val="0"/>
      <w:marRight w:val="0"/>
      <w:marTop w:val="0"/>
      <w:marBottom w:val="0"/>
      <w:divBdr>
        <w:top w:val="none" w:sz="0" w:space="0" w:color="auto"/>
        <w:left w:val="none" w:sz="0" w:space="0" w:color="auto"/>
        <w:bottom w:val="none" w:sz="0" w:space="0" w:color="auto"/>
        <w:right w:val="none" w:sz="0" w:space="0" w:color="auto"/>
      </w:divBdr>
    </w:div>
    <w:div w:id="1849905222">
      <w:bodyDiv w:val="1"/>
      <w:marLeft w:val="0"/>
      <w:marRight w:val="0"/>
      <w:marTop w:val="0"/>
      <w:marBottom w:val="0"/>
      <w:divBdr>
        <w:top w:val="none" w:sz="0" w:space="0" w:color="auto"/>
        <w:left w:val="none" w:sz="0" w:space="0" w:color="auto"/>
        <w:bottom w:val="none" w:sz="0" w:space="0" w:color="auto"/>
        <w:right w:val="none" w:sz="0" w:space="0" w:color="auto"/>
      </w:divBdr>
    </w:div>
    <w:div w:id="1914973681">
      <w:bodyDiv w:val="1"/>
      <w:marLeft w:val="0"/>
      <w:marRight w:val="0"/>
      <w:marTop w:val="0"/>
      <w:marBottom w:val="0"/>
      <w:divBdr>
        <w:top w:val="none" w:sz="0" w:space="0" w:color="auto"/>
        <w:left w:val="none" w:sz="0" w:space="0" w:color="auto"/>
        <w:bottom w:val="none" w:sz="0" w:space="0" w:color="auto"/>
        <w:right w:val="none" w:sz="0" w:space="0" w:color="auto"/>
      </w:divBdr>
    </w:div>
    <w:div w:id="2033454400">
      <w:bodyDiv w:val="1"/>
      <w:marLeft w:val="0"/>
      <w:marRight w:val="0"/>
      <w:marTop w:val="0"/>
      <w:marBottom w:val="0"/>
      <w:divBdr>
        <w:top w:val="none" w:sz="0" w:space="0" w:color="auto"/>
        <w:left w:val="none" w:sz="0" w:space="0" w:color="auto"/>
        <w:bottom w:val="none" w:sz="0" w:space="0" w:color="auto"/>
        <w:right w:val="none" w:sz="0" w:space="0" w:color="auto"/>
      </w:divBdr>
    </w:div>
    <w:div w:id="2062244553">
      <w:bodyDiv w:val="1"/>
      <w:marLeft w:val="0"/>
      <w:marRight w:val="0"/>
      <w:marTop w:val="0"/>
      <w:marBottom w:val="0"/>
      <w:divBdr>
        <w:top w:val="none" w:sz="0" w:space="0" w:color="auto"/>
        <w:left w:val="none" w:sz="0" w:space="0" w:color="auto"/>
        <w:bottom w:val="none" w:sz="0" w:space="0" w:color="auto"/>
        <w:right w:val="none" w:sz="0" w:space="0" w:color="auto"/>
      </w:divBdr>
    </w:div>
    <w:div w:id="2097092850">
      <w:bodyDiv w:val="1"/>
      <w:marLeft w:val="0"/>
      <w:marRight w:val="0"/>
      <w:marTop w:val="0"/>
      <w:marBottom w:val="0"/>
      <w:divBdr>
        <w:top w:val="none" w:sz="0" w:space="0" w:color="auto"/>
        <w:left w:val="none" w:sz="0" w:space="0" w:color="auto"/>
        <w:bottom w:val="none" w:sz="0" w:space="0" w:color="auto"/>
        <w:right w:val="none" w:sz="0" w:space="0" w:color="auto"/>
      </w:divBdr>
    </w:div>
    <w:div w:id="2110074981">
      <w:bodyDiv w:val="1"/>
      <w:marLeft w:val="0"/>
      <w:marRight w:val="0"/>
      <w:marTop w:val="0"/>
      <w:marBottom w:val="0"/>
      <w:divBdr>
        <w:top w:val="none" w:sz="0" w:space="0" w:color="auto"/>
        <w:left w:val="none" w:sz="0" w:space="0" w:color="auto"/>
        <w:bottom w:val="none" w:sz="0" w:space="0" w:color="auto"/>
        <w:right w:val="none" w:sz="0" w:space="0" w:color="auto"/>
      </w:divBdr>
    </w:div>
    <w:div w:id="21130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4</DocSecurity>
  <Lines>5</Lines>
  <Paragraphs>1</Paragraphs>
  <ScaleCrop>false</ScaleCrop>
  <Company>ICBCOA</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工银瑞信基金管理有限公司关于旗下基金申购天音控股股份有限公司非公开发行股票的公告 </dc:title>
  <dc:creator>GYJJ</dc:creator>
  <cp:lastModifiedBy>ZHONGM</cp:lastModifiedBy>
  <cp:revision>2</cp:revision>
  <cp:lastPrinted>2020-09-16T00:39:00Z</cp:lastPrinted>
  <dcterms:created xsi:type="dcterms:W3CDTF">2020-09-16T16:15:00Z</dcterms:created>
  <dcterms:modified xsi:type="dcterms:W3CDTF">2020-09-16T16:15:00Z</dcterms:modified>
</cp:coreProperties>
</file>