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B" w:rsidRPr="00B832BF" w:rsidRDefault="001420EB" w:rsidP="00CC37A0">
      <w:pPr>
        <w:widowControl/>
        <w:spacing w:line="555" w:lineRule="atLeast"/>
        <w:jc w:val="center"/>
        <w:outlineLvl w:val="0"/>
        <w:rPr>
          <w:rFonts w:ascii="黑体" w:eastAsia="黑体" w:hAnsi="宋体" w:cs="宋体"/>
          <w:color w:val="000000"/>
          <w:kern w:val="36"/>
          <w:sz w:val="30"/>
          <w:szCs w:val="30"/>
        </w:rPr>
      </w:pPr>
      <w:r w:rsidRPr="00B832BF">
        <w:rPr>
          <w:rFonts w:ascii="黑体" w:eastAsia="黑体" w:hAnsi="宋体" w:cs="宋体" w:hint="eastAsia"/>
          <w:color w:val="000000"/>
          <w:kern w:val="36"/>
          <w:sz w:val="30"/>
          <w:szCs w:val="30"/>
        </w:rPr>
        <w:t>富国基金管理有限公司关于旗下</w:t>
      </w:r>
      <w:r w:rsidR="00106014">
        <w:rPr>
          <w:rFonts w:ascii="黑体" w:eastAsia="黑体" w:hAnsi="宋体" w:cs="宋体" w:hint="eastAsia"/>
          <w:color w:val="000000"/>
          <w:kern w:val="36"/>
          <w:sz w:val="30"/>
          <w:szCs w:val="30"/>
        </w:rPr>
        <w:t>部分</w:t>
      </w:r>
      <w:r w:rsidR="00AB2340">
        <w:rPr>
          <w:rFonts w:ascii="黑体" w:eastAsia="黑体" w:hAnsi="宋体" w:cs="宋体" w:hint="eastAsia"/>
          <w:color w:val="000000"/>
          <w:kern w:val="36"/>
          <w:sz w:val="30"/>
          <w:szCs w:val="30"/>
        </w:rPr>
        <w:t>证券投资</w:t>
      </w:r>
      <w:r w:rsidRPr="00B832BF">
        <w:rPr>
          <w:rFonts w:ascii="黑体" w:eastAsia="黑体" w:hAnsi="宋体" w:cs="宋体" w:hint="eastAsia"/>
          <w:color w:val="000000"/>
          <w:kern w:val="36"/>
          <w:sz w:val="30"/>
          <w:szCs w:val="30"/>
        </w:rPr>
        <w:t>基金投资非公开发行股票的公告</w:t>
      </w:r>
    </w:p>
    <w:p w:rsidR="001420EB" w:rsidRPr="00F862D6" w:rsidRDefault="001420EB" w:rsidP="0016522E">
      <w:pPr>
        <w:pStyle w:val="Default"/>
        <w:spacing w:line="360" w:lineRule="auto"/>
        <w:ind w:firstLineChars="200" w:firstLine="480"/>
        <w:rPr>
          <w:rFonts w:ascii="宋体" w:eastAsia="宋体" w:hAnsi="宋体" w:cs="宋体"/>
          <w:color w:val="auto"/>
        </w:rPr>
      </w:pPr>
      <w:r w:rsidRPr="00611390">
        <w:rPr>
          <w:rFonts w:ascii="宋体" w:eastAsia="宋体" w:hAnsi="宋体" w:cs="宋体" w:hint="eastAsia"/>
          <w:color w:val="auto"/>
        </w:rPr>
        <w:t>富国基金管理有限公司</w:t>
      </w:r>
      <w:r w:rsidRPr="00611390">
        <w:rPr>
          <w:rFonts w:ascii="宋体" w:eastAsia="宋体" w:hAnsi="宋体" w:cs="宋体"/>
          <w:color w:val="auto"/>
        </w:rPr>
        <w:t>(</w:t>
      </w:r>
      <w:r w:rsidRPr="00611390">
        <w:rPr>
          <w:rFonts w:ascii="宋体" w:eastAsia="宋体" w:hAnsi="宋体" w:cs="宋体" w:hint="eastAsia"/>
          <w:color w:val="auto"/>
        </w:rPr>
        <w:t>以下简称“本公司”</w:t>
      </w:r>
      <w:r w:rsidRPr="00611390">
        <w:rPr>
          <w:rFonts w:ascii="宋体" w:eastAsia="宋体" w:hAnsi="宋体" w:cs="宋体"/>
          <w:color w:val="auto"/>
        </w:rPr>
        <w:t>)</w:t>
      </w:r>
      <w:r w:rsidRPr="00611390">
        <w:rPr>
          <w:rFonts w:ascii="宋体" w:eastAsia="宋体" w:hAnsi="宋体" w:cs="宋体" w:hint="eastAsia"/>
          <w:color w:val="auto"/>
        </w:rPr>
        <w:t>旗下部分证券投资基金参加了</w:t>
      </w:r>
      <w:r w:rsidR="00196586" w:rsidRPr="00196586">
        <w:rPr>
          <w:rFonts w:ascii="宋体" w:eastAsia="宋体" w:hAnsi="宋体" w:cs="宋体" w:hint="eastAsia"/>
          <w:color w:val="auto"/>
        </w:rPr>
        <w:t>广东凯普生物科技股份有限公司</w:t>
      </w:r>
      <w:r w:rsidRPr="00611390">
        <w:rPr>
          <w:rFonts w:ascii="宋体" w:eastAsia="宋体" w:hAnsi="宋体" w:cs="宋体"/>
          <w:color w:val="auto"/>
        </w:rPr>
        <w:t>(</w:t>
      </w:r>
      <w:r w:rsidRPr="00611390">
        <w:rPr>
          <w:rFonts w:ascii="宋体" w:eastAsia="宋体" w:hAnsi="宋体" w:cs="宋体" w:hint="eastAsia"/>
          <w:color w:val="auto"/>
        </w:rPr>
        <w:t>股票简称：</w:t>
      </w:r>
      <w:r w:rsidR="00196586" w:rsidRPr="00196586">
        <w:rPr>
          <w:rFonts w:ascii="宋体" w:eastAsia="宋体" w:hAnsi="宋体" w:cs="宋体" w:hint="eastAsia"/>
          <w:color w:val="auto"/>
        </w:rPr>
        <w:t>凯普生物</w:t>
      </w:r>
      <w:r w:rsidRPr="00611390">
        <w:rPr>
          <w:rFonts w:ascii="宋体" w:eastAsia="宋体" w:hAnsi="宋体" w:cs="宋体" w:hint="eastAsia"/>
          <w:color w:val="auto"/>
        </w:rPr>
        <w:t>，证券代码：</w:t>
      </w:r>
      <w:r w:rsidR="00196586">
        <w:rPr>
          <w:rFonts w:ascii="宋体" w:eastAsia="宋体" w:hAnsi="宋体" w:cs="宋体"/>
          <w:color w:val="auto"/>
        </w:rPr>
        <w:t>300639</w:t>
      </w:r>
      <w:r w:rsidRPr="00611390">
        <w:rPr>
          <w:rFonts w:ascii="宋体" w:eastAsia="宋体" w:hAnsi="宋体" w:cs="宋体"/>
          <w:color w:val="auto"/>
        </w:rPr>
        <w:t>)</w:t>
      </w:r>
      <w:r w:rsidRPr="00611390">
        <w:rPr>
          <w:rFonts w:ascii="宋体" w:eastAsia="宋体" w:hAnsi="宋体" w:cs="宋体" w:hint="eastAsia"/>
          <w:color w:val="auto"/>
        </w:rPr>
        <w:t>非公开发行股票的认购。</w:t>
      </w:r>
      <w:r w:rsidR="00196586" w:rsidRPr="00196586">
        <w:rPr>
          <w:rFonts w:ascii="宋体" w:eastAsia="宋体" w:hAnsi="宋体" w:cs="宋体" w:hint="eastAsia"/>
          <w:color w:val="auto"/>
        </w:rPr>
        <w:t>广东凯普生物科技股份有限公司</w:t>
      </w:r>
      <w:r w:rsidRPr="00611390">
        <w:rPr>
          <w:rFonts w:ascii="宋体" w:eastAsia="宋体" w:hAnsi="宋体" w:cs="宋体" w:hint="eastAsia"/>
          <w:color w:val="auto"/>
        </w:rPr>
        <w:t>已发布《</w:t>
      </w:r>
      <w:r w:rsidR="00196586" w:rsidRPr="00196586">
        <w:rPr>
          <w:rFonts w:ascii="宋体" w:eastAsia="宋体" w:hAnsi="宋体" w:cs="宋体" w:hint="eastAsia"/>
          <w:color w:val="auto"/>
        </w:rPr>
        <w:t>广东凯普生物科技股份有限公司创业板向特定对象发行股票上市公告书</w:t>
      </w:r>
      <w:r w:rsidRPr="00611390">
        <w:rPr>
          <w:rFonts w:ascii="宋体" w:eastAsia="宋体" w:hAnsi="宋体" w:cs="宋体" w:hint="eastAsia"/>
          <w:color w:val="auto"/>
        </w:rPr>
        <w:t>》，公布了本次非公开发行结果。根据中国证监会《关于基金投资非公开发行股票等流通受限证券有关问题的通知》等有关规定，本公司现将旗下</w:t>
      </w:r>
      <w:r w:rsidR="00AB2340" w:rsidRPr="00611390">
        <w:rPr>
          <w:rFonts w:ascii="宋体" w:eastAsia="宋体" w:hAnsi="宋体" w:cs="宋体" w:hint="eastAsia"/>
          <w:color w:val="auto"/>
        </w:rPr>
        <w:t>证券投资</w:t>
      </w:r>
      <w:r w:rsidRPr="00611390">
        <w:rPr>
          <w:rFonts w:ascii="宋体" w:eastAsia="宋体" w:hAnsi="宋体" w:cs="宋体" w:hint="eastAsia"/>
          <w:color w:val="auto"/>
        </w:rPr>
        <w:t>基金投资</w:t>
      </w:r>
      <w:r w:rsidR="00AB2340" w:rsidRPr="00611390">
        <w:rPr>
          <w:rFonts w:ascii="宋体" w:eastAsia="宋体" w:hAnsi="宋体" w:cs="宋体" w:hint="eastAsia"/>
          <w:color w:val="auto"/>
        </w:rPr>
        <w:t>此</w:t>
      </w:r>
      <w:r w:rsidRPr="00611390">
        <w:rPr>
          <w:rFonts w:ascii="宋体" w:eastAsia="宋体" w:hAnsi="宋体" w:cs="宋体" w:hint="eastAsia"/>
          <w:color w:val="auto"/>
        </w:rPr>
        <w:t>非公开发行股票的相关</w:t>
      </w:r>
      <w:r w:rsidR="00AB2340" w:rsidRPr="00611390">
        <w:rPr>
          <w:rFonts w:ascii="宋体" w:eastAsia="宋体" w:hAnsi="宋体" w:cs="宋体" w:hint="eastAsia"/>
          <w:color w:val="auto"/>
        </w:rPr>
        <w:t>情况</w:t>
      </w:r>
      <w:r w:rsidRPr="00611390">
        <w:rPr>
          <w:rFonts w:ascii="宋体" w:eastAsia="宋体" w:hAnsi="宋体" w:cs="宋体" w:hint="eastAsia"/>
          <w:color w:val="auto"/>
        </w:rPr>
        <w:t>公告如下：</w:t>
      </w:r>
    </w:p>
    <w:tbl>
      <w:tblPr>
        <w:tblW w:w="10217" w:type="dxa"/>
        <w:jc w:val="center"/>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7"/>
        <w:gridCol w:w="1277"/>
        <w:gridCol w:w="1560"/>
        <w:gridCol w:w="994"/>
        <w:gridCol w:w="1845"/>
        <w:gridCol w:w="993"/>
        <w:gridCol w:w="751"/>
      </w:tblGrid>
      <w:tr w:rsidR="00236FA5" w:rsidRPr="00047BD8" w:rsidTr="00F747A9">
        <w:trPr>
          <w:trHeight w:val="1206"/>
          <w:jc w:val="center"/>
        </w:trPr>
        <w:tc>
          <w:tcPr>
            <w:tcW w:w="2797" w:type="dxa"/>
            <w:vAlign w:val="center"/>
          </w:tcPr>
          <w:p w:rsidR="001420EB" w:rsidRPr="00047BD8" w:rsidRDefault="001420EB"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基金名称</w:t>
            </w:r>
          </w:p>
        </w:tc>
        <w:tc>
          <w:tcPr>
            <w:tcW w:w="1277" w:type="dxa"/>
            <w:vAlign w:val="center"/>
          </w:tcPr>
          <w:p w:rsidR="001420EB" w:rsidRPr="00047BD8" w:rsidRDefault="001420EB"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认购数量</w:t>
            </w:r>
            <w:r w:rsidRPr="00047BD8">
              <w:rPr>
                <w:rFonts w:ascii="宋体" w:hAnsi="宋体" w:cs="宋体"/>
                <w:kern w:val="0"/>
                <w:szCs w:val="21"/>
              </w:rPr>
              <w:t>(</w:t>
            </w:r>
            <w:r w:rsidRPr="00047BD8">
              <w:rPr>
                <w:rFonts w:ascii="宋体" w:hAnsi="宋体" w:cs="宋体" w:hint="eastAsia"/>
                <w:kern w:val="0"/>
                <w:szCs w:val="21"/>
              </w:rPr>
              <w:t>股</w:t>
            </w:r>
            <w:r w:rsidRPr="00047BD8">
              <w:rPr>
                <w:rFonts w:ascii="宋体" w:hAnsi="宋体" w:cs="宋体"/>
                <w:kern w:val="0"/>
                <w:szCs w:val="21"/>
              </w:rPr>
              <w:t>)</w:t>
            </w:r>
          </w:p>
        </w:tc>
        <w:tc>
          <w:tcPr>
            <w:tcW w:w="1560" w:type="dxa"/>
            <w:vAlign w:val="center"/>
          </w:tcPr>
          <w:p w:rsidR="001420EB" w:rsidRPr="00047BD8" w:rsidRDefault="001420EB"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总成本</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994" w:type="dxa"/>
            <w:vAlign w:val="center"/>
          </w:tcPr>
          <w:p w:rsidR="001420EB" w:rsidRPr="00047BD8" w:rsidRDefault="001420EB" w:rsidP="007A5AFC">
            <w:pPr>
              <w:widowControl/>
              <w:spacing w:before="100" w:beforeAutospacing="1" w:after="375" w:line="360" w:lineRule="auto"/>
              <w:jc w:val="center"/>
              <w:rPr>
                <w:rFonts w:ascii="宋体" w:cs="宋体"/>
                <w:kern w:val="0"/>
                <w:szCs w:val="21"/>
              </w:rPr>
            </w:pPr>
            <w:r w:rsidRPr="00047BD8">
              <w:rPr>
                <w:rFonts w:ascii="宋体" w:hAnsi="宋体" w:cs="宋体" w:hint="eastAsia"/>
                <w:kern w:val="0"/>
                <w:szCs w:val="21"/>
              </w:rPr>
              <w:t>总成本占基金资产净值比例</w:t>
            </w:r>
            <w:r w:rsidR="007A5AFC">
              <w:rPr>
                <w:rFonts w:ascii="宋体" w:hAnsi="宋体" w:cs="宋体" w:hint="eastAsia"/>
                <w:kern w:val="0"/>
                <w:szCs w:val="21"/>
              </w:rPr>
              <w:t>（%）</w:t>
            </w:r>
          </w:p>
        </w:tc>
        <w:tc>
          <w:tcPr>
            <w:tcW w:w="1845" w:type="dxa"/>
            <w:vAlign w:val="center"/>
          </w:tcPr>
          <w:p w:rsidR="001420EB" w:rsidRPr="00047BD8" w:rsidRDefault="001420EB"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账面价值</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993" w:type="dxa"/>
            <w:vAlign w:val="center"/>
          </w:tcPr>
          <w:p w:rsidR="001420EB" w:rsidRPr="00047BD8" w:rsidRDefault="001420EB"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账面价值占基金资产净值比例</w:t>
            </w:r>
            <w:r w:rsidR="007A5AFC">
              <w:rPr>
                <w:rFonts w:ascii="宋体" w:hAnsi="宋体" w:cs="宋体" w:hint="eastAsia"/>
                <w:kern w:val="0"/>
                <w:szCs w:val="21"/>
              </w:rPr>
              <w:t>（%）</w:t>
            </w:r>
          </w:p>
        </w:tc>
        <w:tc>
          <w:tcPr>
            <w:tcW w:w="751" w:type="dxa"/>
            <w:vAlign w:val="center"/>
          </w:tcPr>
          <w:p w:rsidR="001420EB" w:rsidRPr="00047BD8" w:rsidRDefault="001420EB"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限售期（月）</w:t>
            </w:r>
          </w:p>
        </w:tc>
      </w:tr>
      <w:tr w:rsidR="00C40659" w:rsidRPr="00047BD8" w:rsidTr="00F747A9">
        <w:trPr>
          <w:trHeight w:val="546"/>
          <w:jc w:val="center"/>
        </w:trPr>
        <w:tc>
          <w:tcPr>
            <w:tcW w:w="2797" w:type="dxa"/>
            <w:vAlign w:val="center"/>
          </w:tcPr>
          <w:p w:rsidR="00C40659" w:rsidRPr="00503051" w:rsidRDefault="00196586" w:rsidP="000A3F32">
            <w:pPr>
              <w:pStyle w:val="HTML"/>
              <w:rPr>
                <w:rFonts w:ascii="??" w:hAnsi="??" w:cs="宋体" w:hint="eastAsia"/>
                <w:sz w:val="21"/>
                <w:szCs w:val="21"/>
                <w:lang w:val="en-US" w:eastAsia="zh-CN"/>
              </w:rPr>
            </w:pPr>
            <w:r w:rsidRPr="00196586">
              <w:rPr>
                <w:rFonts w:ascii="??" w:hAnsi="??" w:cs="宋体" w:hint="eastAsia"/>
                <w:sz w:val="21"/>
                <w:szCs w:val="21"/>
                <w:lang w:val="en-US" w:eastAsia="zh-CN"/>
              </w:rPr>
              <w:t>富国高端制造行业股票型证券投资基金</w:t>
            </w:r>
          </w:p>
        </w:tc>
        <w:tc>
          <w:tcPr>
            <w:tcW w:w="1277" w:type="dxa"/>
            <w:vAlign w:val="center"/>
          </w:tcPr>
          <w:p w:rsidR="00C40659" w:rsidRPr="00C40659" w:rsidRDefault="00196586" w:rsidP="00B85962">
            <w:pPr>
              <w:jc w:val="center"/>
              <w:rPr>
                <w:rFonts w:ascii="??" w:hAnsi="??" w:cs="宋体" w:hint="eastAsia"/>
                <w:kern w:val="0"/>
                <w:szCs w:val="21"/>
              </w:rPr>
            </w:pPr>
            <w:r w:rsidRPr="00196586">
              <w:rPr>
                <w:rFonts w:ascii="??" w:hAnsi="??" w:cs="宋体"/>
                <w:kern w:val="0"/>
                <w:szCs w:val="21"/>
              </w:rPr>
              <w:t>218</w:t>
            </w:r>
            <w:r>
              <w:rPr>
                <w:rFonts w:ascii="??" w:hAnsi="??" w:cs="宋体"/>
                <w:kern w:val="0"/>
                <w:szCs w:val="21"/>
              </w:rPr>
              <w:t>,</w:t>
            </w:r>
            <w:r w:rsidRPr="00196586">
              <w:rPr>
                <w:rFonts w:ascii="??" w:hAnsi="??" w:cs="宋体"/>
                <w:kern w:val="0"/>
                <w:szCs w:val="21"/>
              </w:rPr>
              <w:t>531</w:t>
            </w:r>
          </w:p>
        </w:tc>
        <w:tc>
          <w:tcPr>
            <w:tcW w:w="1560" w:type="dxa"/>
            <w:vAlign w:val="center"/>
          </w:tcPr>
          <w:p w:rsidR="00C40659" w:rsidRPr="00C40659" w:rsidRDefault="00196586" w:rsidP="00C40659">
            <w:pPr>
              <w:jc w:val="center"/>
              <w:rPr>
                <w:rFonts w:ascii="??" w:hAnsi="??" w:cs="宋体"/>
                <w:kern w:val="0"/>
                <w:szCs w:val="21"/>
              </w:rPr>
            </w:pPr>
            <w:r w:rsidRPr="00196586">
              <w:rPr>
                <w:rFonts w:ascii="??" w:hAnsi="??" w:cs="宋体"/>
                <w:kern w:val="0"/>
                <w:szCs w:val="21"/>
              </w:rPr>
              <w:t>9,999,978.56</w:t>
            </w:r>
          </w:p>
        </w:tc>
        <w:tc>
          <w:tcPr>
            <w:tcW w:w="994" w:type="dxa"/>
            <w:vAlign w:val="center"/>
          </w:tcPr>
          <w:p w:rsidR="00C40659" w:rsidRPr="00B95123" w:rsidRDefault="00196586" w:rsidP="00F747A9">
            <w:pPr>
              <w:jc w:val="center"/>
              <w:rPr>
                <w:rFonts w:ascii="??" w:hAnsi="??" w:cs="宋体" w:hint="eastAsia"/>
                <w:kern w:val="0"/>
                <w:szCs w:val="21"/>
              </w:rPr>
            </w:pPr>
            <w:r>
              <w:rPr>
                <w:rFonts w:ascii="??" w:hAnsi="??" w:cs="宋体"/>
                <w:kern w:val="0"/>
                <w:szCs w:val="21"/>
              </w:rPr>
              <w:t>0.6687</w:t>
            </w:r>
          </w:p>
        </w:tc>
        <w:tc>
          <w:tcPr>
            <w:tcW w:w="1845" w:type="dxa"/>
            <w:vAlign w:val="center"/>
          </w:tcPr>
          <w:p w:rsidR="00C40659" w:rsidRPr="009335FF" w:rsidRDefault="00196586" w:rsidP="0016522E">
            <w:pPr>
              <w:jc w:val="center"/>
              <w:rPr>
                <w:rFonts w:ascii="??" w:hAnsi="??" w:cs="宋体" w:hint="eastAsia"/>
                <w:kern w:val="0"/>
                <w:szCs w:val="21"/>
              </w:rPr>
            </w:pPr>
            <w:r>
              <w:rPr>
                <w:rFonts w:ascii="??" w:hAnsi="??" w:cs="宋体"/>
                <w:kern w:val="0"/>
                <w:szCs w:val="21"/>
              </w:rPr>
              <w:t>8,975,068.17</w:t>
            </w:r>
          </w:p>
        </w:tc>
        <w:tc>
          <w:tcPr>
            <w:tcW w:w="993" w:type="dxa"/>
            <w:vAlign w:val="center"/>
          </w:tcPr>
          <w:p w:rsidR="00C40659" w:rsidRPr="00B95123" w:rsidRDefault="00196586" w:rsidP="00F747A9">
            <w:pPr>
              <w:jc w:val="center"/>
              <w:rPr>
                <w:rFonts w:ascii="??" w:hAnsi="??" w:cs="宋体" w:hint="eastAsia"/>
                <w:kern w:val="0"/>
                <w:szCs w:val="21"/>
              </w:rPr>
            </w:pPr>
            <w:r>
              <w:rPr>
                <w:rFonts w:ascii="??" w:hAnsi="??" w:cs="宋体"/>
                <w:kern w:val="0"/>
                <w:szCs w:val="21"/>
              </w:rPr>
              <w:t>0.6002</w:t>
            </w:r>
          </w:p>
        </w:tc>
        <w:tc>
          <w:tcPr>
            <w:tcW w:w="751" w:type="dxa"/>
            <w:vAlign w:val="center"/>
          </w:tcPr>
          <w:p w:rsidR="00C40659" w:rsidRPr="00B95123" w:rsidRDefault="00BD4B84" w:rsidP="0034411B">
            <w:pPr>
              <w:jc w:val="center"/>
              <w:rPr>
                <w:rFonts w:ascii="??" w:hAnsi="??" w:cs="宋体" w:hint="eastAsia"/>
                <w:kern w:val="0"/>
                <w:szCs w:val="21"/>
              </w:rPr>
            </w:pPr>
            <w:r>
              <w:rPr>
                <w:rFonts w:ascii="??" w:hAnsi="??" w:cs="宋体" w:hint="eastAsia"/>
                <w:kern w:val="0"/>
                <w:szCs w:val="21"/>
              </w:rPr>
              <w:t>6</w:t>
            </w:r>
          </w:p>
        </w:tc>
      </w:tr>
      <w:tr w:rsidR="00BE10B2" w:rsidRPr="00047BD8" w:rsidTr="00F747A9">
        <w:trPr>
          <w:trHeight w:val="533"/>
          <w:jc w:val="center"/>
        </w:trPr>
        <w:tc>
          <w:tcPr>
            <w:tcW w:w="2797" w:type="dxa"/>
            <w:vAlign w:val="center"/>
          </w:tcPr>
          <w:p w:rsidR="00503051" w:rsidRDefault="00196586" w:rsidP="000A3F32">
            <w:pPr>
              <w:pStyle w:val="HTML"/>
              <w:rPr>
                <w:rFonts w:ascii="??" w:hAnsi="??" w:cs="宋体" w:hint="eastAsia"/>
                <w:sz w:val="21"/>
                <w:szCs w:val="21"/>
                <w:lang w:val="en-US" w:eastAsia="zh-CN"/>
              </w:rPr>
            </w:pPr>
            <w:r w:rsidRPr="00196586">
              <w:rPr>
                <w:rFonts w:ascii="??" w:hAnsi="??" w:cs="宋体" w:hint="eastAsia"/>
                <w:sz w:val="21"/>
                <w:szCs w:val="21"/>
                <w:lang w:val="en-US" w:eastAsia="zh-CN"/>
              </w:rPr>
              <w:t>富国价值优势混合型证券投资基金</w:t>
            </w:r>
          </w:p>
        </w:tc>
        <w:tc>
          <w:tcPr>
            <w:tcW w:w="1277" w:type="dxa"/>
            <w:vAlign w:val="center"/>
          </w:tcPr>
          <w:p w:rsidR="00BE10B2" w:rsidRPr="00C40659" w:rsidRDefault="00196586" w:rsidP="00C40659">
            <w:pPr>
              <w:jc w:val="center"/>
              <w:rPr>
                <w:rFonts w:ascii="??" w:hAnsi="??" w:cs="宋体"/>
                <w:kern w:val="0"/>
                <w:szCs w:val="21"/>
              </w:rPr>
            </w:pPr>
            <w:r w:rsidRPr="00196586">
              <w:rPr>
                <w:rFonts w:ascii="??" w:hAnsi="??" w:cs="宋体"/>
                <w:kern w:val="0"/>
                <w:szCs w:val="21"/>
              </w:rPr>
              <w:t>109</w:t>
            </w:r>
            <w:r>
              <w:rPr>
                <w:rFonts w:ascii="??" w:hAnsi="??" w:cs="宋体"/>
                <w:kern w:val="0"/>
                <w:szCs w:val="21"/>
              </w:rPr>
              <w:t>,</w:t>
            </w:r>
            <w:r w:rsidRPr="00196586">
              <w:rPr>
                <w:rFonts w:ascii="??" w:hAnsi="??" w:cs="宋体"/>
                <w:kern w:val="0"/>
                <w:szCs w:val="21"/>
              </w:rPr>
              <w:t>266</w:t>
            </w:r>
          </w:p>
        </w:tc>
        <w:tc>
          <w:tcPr>
            <w:tcW w:w="1560" w:type="dxa"/>
            <w:vAlign w:val="center"/>
          </w:tcPr>
          <w:p w:rsidR="00BE10B2" w:rsidRPr="00C40659" w:rsidRDefault="00196586" w:rsidP="00C40659">
            <w:pPr>
              <w:jc w:val="center"/>
              <w:rPr>
                <w:rFonts w:ascii="??" w:hAnsi="??" w:cs="宋体"/>
                <w:kern w:val="0"/>
                <w:szCs w:val="21"/>
              </w:rPr>
            </w:pPr>
            <w:r w:rsidRPr="00196586">
              <w:rPr>
                <w:rFonts w:ascii="??" w:hAnsi="??" w:cs="宋体"/>
                <w:kern w:val="0"/>
                <w:szCs w:val="21"/>
              </w:rPr>
              <w:t>5,000,012.16</w:t>
            </w:r>
          </w:p>
        </w:tc>
        <w:tc>
          <w:tcPr>
            <w:tcW w:w="994" w:type="dxa"/>
            <w:vAlign w:val="center"/>
          </w:tcPr>
          <w:p w:rsidR="00BE10B2" w:rsidRPr="009335FF" w:rsidRDefault="00503051" w:rsidP="00196586">
            <w:pPr>
              <w:jc w:val="center"/>
              <w:rPr>
                <w:rFonts w:ascii="??" w:hAnsi="??" w:cs="宋体"/>
                <w:kern w:val="0"/>
                <w:szCs w:val="21"/>
              </w:rPr>
            </w:pPr>
            <w:r>
              <w:rPr>
                <w:rFonts w:ascii="??" w:hAnsi="??" w:cs="宋体" w:hint="eastAsia"/>
                <w:kern w:val="0"/>
                <w:szCs w:val="21"/>
              </w:rPr>
              <w:t>0</w:t>
            </w:r>
            <w:r>
              <w:rPr>
                <w:rFonts w:ascii="??" w:hAnsi="??" w:cs="宋体"/>
                <w:kern w:val="0"/>
                <w:szCs w:val="21"/>
              </w:rPr>
              <w:t>.</w:t>
            </w:r>
            <w:r w:rsidR="00196586">
              <w:rPr>
                <w:rFonts w:ascii="??" w:hAnsi="??" w:cs="宋体"/>
                <w:kern w:val="0"/>
                <w:szCs w:val="21"/>
              </w:rPr>
              <w:t>5700</w:t>
            </w:r>
          </w:p>
        </w:tc>
        <w:tc>
          <w:tcPr>
            <w:tcW w:w="1845" w:type="dxa"/>
            <w:vAlign w:val="center"/>
          </w:tcPr>
          <w:p w:rsidR="00BE10B2" w:rsidRPr="009335FF" w:rsidRDefault="00196586" w:rsidP="00F747A9">
            <w:pPr>
              <w:jc w:val="center"/>
              <w:rPr>
                <w:rFonts w:ascii="??" w:hAnsi="??" w:cs="宋体" w:hint="eastAsia"/>
                <w:kern w:val="0"/>
                <w:szCs w:val="21"/>
              </w:rPr>
            </w:pPr>
            <w:r>
              <w:rPr>
                <w:rFonts w:ascii="??" w:hAnsi="??" w:cs="宋体"/>
                <w:kern w:val="0"/>
                <w:szCs w:val="21"/>
              </w:rPr>
              <w:t>4,487,554.62</w:t>
            </w:r>
          </w:p>
        </w:tc>
        <w:tc>
          <w:tcPr>
            <w:tcW w:w="993" w:type="dxa"/>
            <w:vAlign w:val="center"/>
          </w:tcPr>
          <w:p w:rsidR="00BE10B2" w:rsidRPr="009335FF" w:rsidRDefault="00503051" w:rsidP="00196586">
            <w:pPr>
              <w:jc w:val="center"/>
              <w:rPr>
                <w:rFonts w:ascii="??" w:hAnsi="??" w:cs="宋体"/>
                <w:kern w:val="0"/>
                <w:szCs w:val="21"/>
              </w:rPr>
            </w:pPr>
            <w:r>
              <w:rPr>
                <w:rFonts w:ascii="??" w:hAnsi="??" w:cs="宋体" w:hint="eastAsia"/>
                <w:kern w:val="0"/>
                <w:szCs w:val="21"/>
              </w:rPr>
              <w:t>0</w:t>
            </w:r>
            <w:r>
              <w:rPr>
                <w:rFonts w:ascii="??" w:hAnsi="??" w:cs="宋体"/>
                <w:kern w:val="0"/>
                <w:szCs w:val="21"/>
              </w:rPr>
              <w:t>.</w:t>
            </w:r>
            <w:r w:rsidR="00196586">
              <w:rPr>
                <w:rFonts w:ascii="??" w:hAnsi="??" w:cs="宋体"/>
                <w:kern w:val="0"/>
                <w:szCs w:val="21"/>
              </w:rPr>
              <w:t>5116</w:t>
            </w:r>
          </w:p>
        </w:tc>
        <w:tc>
          <w:tcPr>
            <w:tcW w:w="751" w:type="dxa"/>
            <w:vAlign w:val="center"/>
          </w:tcPr>
          <w:p w:rsidR="00BE10B2" w:rsidRPr="00B95123" w:rsidRDefault="00BD4B84" w:rsidP="0034411B">
            <w:pPr>
              <w:jc w:val="center"/>
              <w:rPr>
                <w:rFonts w:ascii="??" w:hAnsi="??" w:cs="宋体" w:hint="eastAsia"/>
                <w:kern w:val="0"/>
                <w:szCs w:val="21"/>
              </w:rPr>
            </w:pPr>
            <w:r>
              <w:rPr>
                <w:rFonts w:ascii="??" w:hAnsi="??" w:cs="宋体" w:hint="eastAsia"/>
                <w:kern w:val="0"/>
                <w:szCs w:val="21"/>
              </w:rPr>
              <w:t>6</w:t>
            </w:r>
          </w:p>
        </w:tc>
      </w:tr>
      <w:tr w:rsidR="00995EB6" w:rsidRPr="00047BD8" w:rsidTr="00F747A9">
        <w:trPr>
          <w:trHeight w:val="533"/>
          <w:jc w:val="center"/>
        </w:trPr>
        <w:tc>
          <w:tcPr>
            <w:tcW w:w="2797" w:type="dxa"/>
            <w:vAlign w:val="center"/>
          </w:tcPr>
          <w:p w:rsidR="00995EB6" w:rsidRPr="00995EB6" w:rsidRDefault="00196586" w:rsidP="000A3F32">
            <w:pPr>
              <w:pStyle w:val="HTML"/>
              <w:rPr>
                <w:rFonts w:ascii="??" w:hAnsi="??" w:cs="宋体" w:hint="eastAsia"/>
                <w:sz w:val="21"/>
                <w:szCs w:val="21"/>
                <w:lang w:val="en-US" w:eastAsia="zh-CN"/>
              </w:rPr>
            </w:pPr>
            <w:r w:rsidRPr="00503051">
              <w:rPr>
                <w:rFonts w:ascii="??" w:hAnsi="??" w:cs="宋体" w:hint="eastAsia"/>
                <w:sz w:val="21"/>
                <w:szCs w:val="21"/>
                <w:lang w:val="en-US" w:eastAsia="zh-CN"/>
              </w:rPr>
              <w:t>富国融享</w:t>
            </w:r>
            <w:r w:rsidRPr="00503051">
              <w:rPr>
                <w:rFonts w:ascii="??" w:hAnsi="??" w:cs="宋体" w:hint="eastAsia"/>
                <w:sz w:val="21"/>
                <w:szCs w:val="21"/>
                <w:lang w:val="en-US" w:eastAsia="zh-CN"/>
              </w:rPr>
              <w:t>18</w:t>
            </w:r>
            <w:r w:rsidRPr="00503051">
              <w:rPr>
                <w:rFonts w:ascii="??" w:hAnsi="??" w:cs="宋体" w:hint="eastAsia"/>
                <w:sz w:val="21"/>
                <w:szCs w:val="21"/>
                <w:lang w:val="en-US" w:eastAsia="zh-CN"/>
              </w:rPr>
              <w:t>个月定期开放混合型证券投资基金</w:t>
            </w:r>
          </w:p>
        </w:tc>
        <w:tc>
          <w:tcPr>
            <w:tcW w:w="1277" w:type="dxa"/>
            <w:vAlign w:val="center"/>
          </w:tcPr>
          <w:p w:rsidR="00995EB6" w:rsidRPr="0016522E" w:rsidRDefault="00196586" w:rsidP="00C40659">
            <w:pPr>
              <w:jc w:val="center"/>
              <w:rPr>
                <w:rFonts w:ascii="??" w:hAnsi="??" w:cs="宋体"/>
                <w:kern w:val="0"/>
                <w:szCs w:val="21"/>
              </w:rPr>
            </w:pPr>
            <w:r w:rsidRPr="00196586">
              <w:rPr>
                <w:rFonts w:ascii="??" w:hAnsi="??" w:cs="宋体"/>
                <w:kern w:val="0"/>
                <w:szCs w:val="21"/>
              </w:rPr>
              <w:t>109</w:t>
            </w:r>
            <w:r>
              <w:rPr>
                <w:rFonts w:ascii="??" w:hAnsi="??" w:cs="宋体"/>
                <w:kern w:val="0"/>
                <w:szCs w:val="21"/>
              </w:rPr>
              <w:t>,</w:t>
            </w:r>
            <w:r w:rsidRPr="00196586">
              <w:rPr>
                <w:rFonts w:ascii="??" w:hAnsi="??" w:cs="宋体"/>
                <w:kern w:val="0"/>
                <w:szCs w:val="21"/>
              </w:rPr>
              <w:t>266</w:t>
            </w:r>
          </w:p>
        </w:tc>
        <w:tc>
          <w:tcPr>
            <w:tcW w:w="1560" w:type="dxa"/>
            <w:vAlign w:val="center"/>
          </w:tcPr>
          <w:p w:rsidR="00995EB6" w:rsidRPr="0016522E" w:rsidRDefault="00196586" w:rsidP="00C40659">
            <w:pPr>
              <w:jc w:val="center"/>
              <w:rPr>
                <w:rFonts w:ascii="??" w:hAnsi="??" w:cs="宋体"/>
                <w:kern w:val="0"/>
                <w:szCs w:val="21"/>
              </w:rPr>
            </w:pPr>
            <w:r w:rsidRPr="00196586">
              <w:rPr>
                <w:rFonts w:ascii="??" w:hAnsi="??" w:cs="宋体"/>
                <w:kern w:val="0"/>
                <w:szCs w:val="21"/>
              </w:rPr>
              <w:t>5,000,012.16</w:t>
            </w:r>
          </w:p>
        </w:tc>
        <w:tc>
          <w:tcPr>
            <w:tcW w:w="994" w:type="dxa"/>
            <w:vAlign w:val="center"/>
          </w:tcPr>
          <w:p w:rsidR="00995EB6" w:rsidRDefault="00F747A9" w:rsidP="000C7F4B">
            <w:pPr>
              <w:jc w:val="center"/>
              <w:rPr>
                <w:rFonts w:ascii="??" w:hAnsi="??" w:cs="宋体" w:hint="eastAsia"/>
                <w:kern w:val="0"/>
                <w:szCs w:val="21"/>
              </w:rPr>
            </w:pPr>
            <w:r>
              <w:rPr>
                <w:rFonts w:ascii="??" w:hAnsi="??" w:cs="宋体" w:hint="eastAsia"/>
                <w:kern w:val="0"/>
                <w:szCs w:val="21"/>
              </w:rPr>
              <w:t>0.</w:t>
            </w:r>
            <w:r w:rsidR="000C7F4B">
              <w:rPr>
                <w:rFonts w:ascii="??" w:hAnsi="??" w:cs="宋体"/>
                <w:kern w:val="0"/>
                <w:szCs w:val="21"/>
              </w:rPr>
              <w:t>8044</w:t>
            </w:r>
          </w:p>
        </w:tc>
        <w:tc>
          <w:tcPr>
            <w:tcW w:w="1845" w:type="dxa"/>
            <w:vAlign w:val="center"/>
          </w:tcPr>
          <w:p w:rsidR="00995EB6" w:rsidRDefault="000C7F4B" w:rsidP="00503051">
            <w:pPr>
              <w:jc w:val="center"/>
              <w:rPr>
                <w:rFonts w:ascii="??" w:hAnsi="??" w:cs="宋体" w:hint="eastAsia"/>
                <w:kern w:val="0"/>
                <w:szCs w:val="21"/>
              </w:rPr>
            </w:pPr>
            <w:r>
              <w:rPr>
                <w:rFonts w:ascii="??" w:hAnsi="??" w:cs="宋体"/>
                <w:kern w:val="0"/>
                <w:szCs w:val="21"/>
              </w:rPr>
              <w:t>4,487,554.62</w:t>
            </w:r>
          </w:p>
        </w:tc>
        <w:tc>
          <w:tcPr>
            <w:tcW w:w="993" w:type="dxa"/>
            <w:vAlign w:val="center"/>
          </w:tcPr>
          <w:p w:rsidR="00995EB6" w:rsidRDefault="00D859B3" w:rsidP="000C7F4B">
            <w:pPr>
              <w:jc w:val="center"/>
              <w:rPr>
                <w:rFonts w:ascii="??" w:hAnsi="??" w:cs="宋体" w:hint="eastAsia"/>
                <w:kern w:val="0"/>
                <w:szCs w:val="21"/>
              </w:rPr>
            </w:pPr>
            <w:r>
              <w:rPr>
                <w:rFonts w:ascii="??" w:hAnsi="??" w:cs="宋体" w:hint="eastAsia"/>
                <w:kern w:val="0"/>
                <w:szCs w:val="21"/>
              </w:rPr>
              <w:t>0.</w:t>
            </w:r>
            <w:r w:rsidR="000C7F4B">
              <w:rPr>
                <w:rFonts w:ascii="??" w:hAnsi="??" w:cs="宋体"/>
                <w:kern w:val="0"/>
                <w:szCs w:val="21"/>
              </w:rPr>
              <w:t>7220</w:t>
            </w:r>
          </w:p>
        </w:tc>
        <w:tc>
          <w:tcPr>
            <w:tcW w:w="751" w:type="dxa"/>
            <w:vAlign w:val="center"/>
          </w:tcPr>
          <w:p w:rsidR="00995EB6" w:rsidRDefault="00D859B3" w:rsidP="0034411B">
            <w:pPr>
              <w:jc w:val="center"/>
              <w:rPr>
                <w:rFonts w:ascii="??" w:hAnsi="??" w:cs="宋体" w:hint="eastAsia"/>
                <w:kern w:val="0"/>
                <w:szCs w:val="21"/>
              </w:rPr>
            </w:pPr>
            <w:r>
              <w:rPr>
                <w:rFonts w:ascii="??" w:hAnsi="??" w:cs="宋体" w:hint="eastAsia"/>
                <w:kern w:val="0"/>
                <w:szCs w:val="21"/>
              </w:rPr>
              <w:t>6</w:t>
            </w:r>
          </w:p>
        </w:tc>
      </w:tr>
      <w:tr w:rsidR="00995EB6" w:rsidRPr="00047BD8" w:rsidTr="00F747A9">
        <w:trPr>
          <w:trHeight w:val="533"/>
          <w:jc w:val="center"/>
        </w:trPr>
        <w:tc>
          <w:tcPr>
            <w:tcW w:w="2797" w:type="dxa"/>
            <w:vAlign w:val="center"/>
          </w:tcPr>
          <w:p w:rsidR="00995EB6" w:rsidRPr="00995EB6" w:rsidRDefault="00196586" w:rsidP="000A3F32">
            <w:pPr>
              <w:pStyle w:val="HTML"/>
              <w:rPr>
                <w:rFonts w:ascii="??" w:hAnsi="??" w:cs="宋体" w:hint="eastAsia"/>
                <w:sz w:val="21"/>
                <w:szCs w:val="21"/>
                <w:lang w:val="en-US" w:eastAsia="zh-CN"/>
              </w:rPr>
            </w:pPr>
            <w:r w:rsidRPr="00196586">
              <w:rPr>
                <w:rFonts w:ascii="??" w:hAnsi="??" w:cs="宋体" w:hint="eastAsia"/>
                <w:sz w:val="21"/>
                <w:szCs w:val="21"/>
                <w:lang w:val="en-US" w:eastAsia="zh-CN"/>
              </w:rPr>
              <w:t>富国天博创新主题混合型证券投资基金</w:t>
            </w:r>
          </w:p>
        </w:tc>
        <w:tc>
          <w:tcPr>
            <w:tcW w:w="1277" w:type="dxa"/>
            <w:vAlign w:val="center"/>
          </w:tcPr>
          <w:p w:rsidR="00995EB6" w:rsidRPr="0016522E" w:rsidRDefault="00196586" w:rsidP="00C40659">
            <w:pPr>
              <w:jc w:val="center"/>
              <w:rPr>
                <w:rFonts w:ascii="??" w:hAnsi="??" w:cs="宋体"/>
                <w:kern w:val="0"/>
                <w:szCs w:val="21"/>
              </w:rPr>
            </w:pPr>
            <w:r w:rsidRPr="00196586">
              <w:rPr>
                <w:rFonts w:ascii="??" w:hAnsi="??" w:cs="宋体"/>
                <w:kern w:val="0"/>
                <w:szCs w:val="21"/>
              </w:rPr>
              <w:t>327</w:t>
            </w:r>
            <w:r>
              <w:rPr>
                <w:rFonts w:ascii="??" w:hAnsi="??" w:cs="宋体"/>
                <w:kern w:val="0"/>
                <w:szCs w:val="21"/>
              </w:rPr>
              <w:t>,</w:t>
            </w:r>
            <w:r w:rsidRPr="00196586">
              <w:rPr>
                <w:rFonts w:ascii="??" w:hAnsi="??" w:cs="宋体"/>
                <w:kern w:val="0"/>
                <w:szCs w:val="21"/>
              </w:rPr>
              <w:t>797</w:t>
            </w:r>
          </w:p>
        </w:tc>
        <w:tc>
          <w:tcPr>
            <w:tcW w:w="1560" w:type="dxa"/>
            <w:vAlign w:val="center"/>
          </w:tcPr>
          <w:p w:rsidR="00995EB6" w:rsidRPr="0016522E" w:rsidRDefault="00196586" w:rsidP="00C40659">
            <w:pPr>
              <w:jc w:val="center"/>
              <w:rPr>
                <w:rFonts w:ascii="??" w:hAnsi="??" w:cs="宋体"/>
                <w:kern w:val="0"/>
                <w:szCs w:val="21"/>
              </w:rPr>
            </w:pPr>
            <w:r w:rsidRPr="00196586">
              <w:rPr>
                <w:rFonts w:ascii="??" w:hAnsi="??" w:cs="宋体"/>
                <w:kern w:val="0"/>
                <w:szCs w:val="21"/>
              </w:rPr>
              <w:t>14,999,990.72</w:t>
            </w:r>
          </w:p>
        </w:tc>
        <w:tc>
          <w:tcPr>
            <w:tcW w:w="994" w:type="dxa"/>
            <w:vAlign w:val="center"/>
          </w:tcPr>
          <w:p w:rsidR="00995EB6" w:rsidRDefault="00D859B3" w:rsidP="000C7F4B">
            <w:pPr>
              <w:jc w:val="center"/>
              <w:rPr>
                <w:rFonts w:ascii="??" w:hAnsi="??" w:cs="宋体" w:hint="eastAsia"/>
                <w:kern w:val="0"/>
                <w:szCs w:val="21"/>
              </w:rPr>
            </w:pPr>
            <w:r>
              <w:rPr>
                <w:rFonts w:ascii="??" w:hAnsi="??" w:cs="宋体" w:hint="eastAsia"/>
                <w:kern w:val="0"/>
                <w:szCs w:val="21"/>
              </w:rPr>
              <w:t>0.</w:t>
            </w:r>
            <w:r w:rsidR="000C7F4B">
              <w:rPr>
                <w:rFonts w:ascii="??" w:hAnsi="??" w:cs="宋体"/>
                <w:kern w:val="0"/>
                <w:szCs w:val="21"/>
              </w:rPr>
              <w:t>3953</w:t>
            </w:r>
          </w:p>
        </w:tc>
        <w:tc>
          <w:tcPr>
            <w:tcW w:w="1845" w:type="dxa"/>
            <w:vAlign w:val="center"/>
          </w:tcPr>
          <w:p w:rsidR="00995EB6" w:rsidRDefault="000C7F4B" w:rsidP="00503051">
            <w:pPr>
              <w:jc w:val="center"/>
              <w:rPr>
                <w:rFonts w:ascii="??" w:hAnsi="??" w:cs="宋体"/>
                <w:kern w:val="0"/>
                <w:szCs w:val="21"/>
              </w:rPr>
            </w:pPr>
            <w:r>
              <w:rPr>
                <w:rFonts w:ascii="??" w:hAnsi="??" w:cs="宋体"/>
                <w:kern w:val="0"/>
                <w:szCs w:val="21"/>
              </w:rPr>
              <w:t>13,462,622.79</w:t>
            </w:r>
          </w:p>
        </w:tc>
        <w:tc>
          <w:tcPr>
            <w:tcW w:w="993" w:type="dxa"/>
            <w:vAlign w:val="center"/>
          </w:tcPr>
          <w:p w:rsidR="00995EB6" w:rsidRDefault="00D859B3" w:rsidP="000C7F4B">
            <w:pPr>
              <w:jc w:val="center"/>
              <w:rPr>
                <w:rFonts w:ascii="??" w:hAnsi="??" w:cs="宋体" w:hint="eastAsia"/>
                <w:kern w:val="0"/>
                <w:szCs w:val="21"/>
              </w:rPr>
            </w:pPr>
            <w:r>
              <w:rPr>
                <w:rFonts w:ascii="??" w:hAnsi="??" w:cs="宋体" w:hint="eastAsia"/>
                <w:kern w:val="0"/>
                <w:szCs w:val="21"/>
              </w:rPr>
              <w:t>0.</w:t>
            </w:r>
            <w:r w:rsidR="000C7F4B">
              <w:rPr>
                <w:rFonts w:ascii="??" w:hAnsi="??" w:cs="宋体"/>
                <w:kern w:val="0"/>
                <w:szCs w:val="21"/>
              </w:rPr>
              <w:t>3548</w:t>
            </w:r>
          </w:p>
        </w:tc>
        <w:tc>
          <w:tcPr>
            <w:tcW w:w="751" w:type="dxa"/>
            <w:vAlign w:val="center"/>
          </w:tcPr>
          <w:p w:rsidR="00995EB6" w:rsidRDefault="00D859B3" w:rsidP="0034411B">
            <w:pPr>
              <w:jc w:val="center"/>
              <w:rPr>
                <w:rFonts w:ascii="??" w:hAnsi="??" w:cs="宋体" w:hint="eastAsia"/>
                <w:kern w:val="0"/>
                <w:szCs w:val="21"/>
              </w:rPr>
            </w:pPr>
            <w:r>
              <w:rPr>
                <w:rFonts w:ascii="??" w:hAnsi="??" w:cs="宋体" w:hint="eastAsia"/>
                <w:kern w:val="0"/>
                <w:szCs w:val="21"/>
              </w:rPr>
              <w:t>6</w:t>
            </w:r>
          </w:p>
        </w:tc>
      </w:tr>
    </w:tbl>
    <w:p w:rsidR="001420EB"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注：基金资产净值、账面价值为</w:t>
      </w:r>
      <w:r w:rsidR="00BD4B84" w:rsidRPr="00503051">
        <w:rPr>
          <w:rFonts w:ascii="宋体" w:eastAsia="宋体" w:hAnsi="宋体" w:cs="宋体"/>
          <w:color w:val="auto"/>
        </w:rPr>
        <w:t>2020</w:t>
      </w:r>
      <w:r w:rsidR="00A14545" w:rsidRPr="00503051">
        <w:rPr>
          <w:rFonts w:ascii="宋体" w:eastAsia="宋体" w:hAnsi="宋体" w:cs="宋体" w:hint="eastAsia"/>
          <w:color w:val="auto"/>
        </w:rPr>
        <w:t>年</w:t>
      </w:r>
      <w:r w:rsidR="00BD4B84" w:rsidRPr="00503051">
        <w:rPr>
          <w:rFonts w:ascii="宋体" w:eastAsia="宋体" w:hAnsi="宋体" w:cs="宋体"/>
          <w:color w:val="auto"/>
        </w:rPr>
        <w:t>0</w:t>
      </w:r>
      <w:r w:rsidR="00196586">
        <w:rPr>
          <w:rFonts w:ascii="宋体" w:eastAsia="宋体" w:hAnsi="宋体" w:cs="宋体"/>
          <w:color w:val="auto"/>
        </w:rPr>
        <w:t>9</w:t>
      </w:r>
      <w:r w:rsidR="00A14545" w:rsidRPr="00503051">
        <w:rPr>
          <w:rFonts w:ascii="宋体" w:eastAsia="宋体" w:hAnsi="宋体" w:cs="宋体" w:hint="eastAsia"/>
          <w:color w:val="auto"/>
        </w:rPr>
        <w:t>月</w:t>
      </w:r>
      <w:r w:rsidR="00995EB6">
        <w:rPr>
          <w:rFonts w:ascii="宋体" w:eastAsia="宋体" w:hAnsi="宋体" w:cs="宋体"/>
          <w:color w:val="auto"/>
        </w:rPr>
        <w:t>1</w:t>
      </w:r>
      <w:r w:rsidR="00196586">
        <w:rPr>
          <w:rFonts w:ascii="宋体" w:eastAsia="宋体" w:hAnsi="宋体" w:cs="宋体"/>
          <w:color w:val="auto"/>
        </w:rPr>
        <w:t>5</w:t>
      </w:r>
      <w:r w:rsidR="00A14545" w:rsidRPr="00503051">
        <w:rPr>
          <w:rFonts w:ascii="宋体" w:eastAsia="宋体" w:hAnsi="宋体" w:cs="宋体" w:hint="eastAsia"/>
          <w:color w:val="auto"/>
        </w:rPr>
        <w:t>日</w:t>
      </w:r>
      <w:r w:rsidRPr="00503051">
        <w:rPr>
          <w:rFonts w:ascii="宋体" w:eastAsia="宋体" w:hAnsi="宋体" w:cs="宋体" w:hint="eastAsia"/>
          <w:color w:val="auto"/>
        </w:rPr>
        <w:t>数据。</w:t>
      </w:r>
    </w:p>
    <w:p w:rsidR="00503051" w:rsidRPr="00503051" w:rsidRDefault="00106014"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投资者可以登陆富国基金管理有限公司网站www.fullgoal.com.cn或拨打富国基金管理有限公司客户服务热线95105686、4008880688（全国统一，均免长途费）进行相关咨询。</w:t>
      </w:r>
    </w:p>
    <w:p w:rsidR="00106014" w:rsidRPr="00503051" w:rsidRDefault="00106014" w:rsidP="00503051">
      <w:pPr>
        <w:pStyle w:val="Default"/>
        <w:spacing w:line="360" w:lineRule="auto"/>
        <w:ind w:firstLineChars="200" w:firstLine="480"/>
        <w:rPr>
          <w:rFonts w:ascii="宋体" w:eastAsia="宋体" w:hAnsi="宋体" w:cs="宋体" w:hint="eastAsia"/>
          <w:color w:val="auto"/>
        </w:rPr>
      </w:pPr>
      <w:r w:rsidRPr="00503051">
        <w:rPr>
          <w:rFonts w:ascii="宋体" w:eastAsia="宋体" w:hAnsi="宋体" w:cs="宋体" w:hint="eastAsia"/>
          <w:color w:val="auto"/>
        </w:rPr>
        <w:t>风险提示：基金管理人承诺以诚实信用、勤勉尽责的原则管理和运用基金资产，但不保证基金一定盈利，也不保证最低收益。投资者投资于</w:t>
      </w:r>
      <w:r w:rsidR="00F1353E" w:rsidRPr="00503051">
        <w:rPr>
          <w:rFonts w:ascii="宋体" w:eastAsia="宋体" w:hAnsi="宋体" w:cs="宋体" w:hint="eastAsia"/>
          <w:color w:val="auto"/>
        </w:rPr>
        <w:t>上述</w:t>
      </w:r>
      <w:r w:rsidRPr="00503051">
        <w:rPr>
          <w:rFonts w:ascii="宋体" w:eastAsia="宋体" w:hAnsi="宋体" w:cs="宋体" w:hint="eastAsia"/>
          <w:color w:val="auto"/>
        </w:rPr>
        <w:t>基金前应认真阅读相关基金的基金合同和招募说明书。</w:t>
      </w:r>
    </w:p>
    <w:p w:rsidR="00503051"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特此公告</w:t>
      </w:r>
      <w:r w:rsidR="00106014" w:rsidRPr="00503051">
        <w:rPr>
          <w:rFonts w:ascii="宋体" w:eastAsia="宋体" w:hAnsi="宋体" w:cs="宋体" w:hint="eastAsia"/>
          <w:color w:val="auto"/>
        </w:rPr>
        <w:t>。</w:t>
      </w:r>
    </w:p>
    <w:p w:rsidR="001420EB" w:rsidRPr="00047BD8" w:rsidRDefault="001420EB" w:rsidP="00503051">
      <w:pPr>
        <w:widowControl/>
        <w:spacing w:before="100" w:beforeAutospacing="1" w:after="375"/>
        <w:ind w:firstLine="420"/>
        <w:jc w:val="right"/>
        <w:rPr>
          <w:rFonts w:ascii="宋体" w:cs="宋体"/>
          <w:kern w:val="0"/>
          <w:sz w:val="24"/>
          <w:szCs w:val="24"/>
        </w:rPr>
      </w:pPr>
      <w:r w:rsidRPr="00047BD8">
        <w:rPr>
          <w:rFonts w:ascii="宋体" w:hAnsi="宋体" w:cs="宋体" w:hint="eastAsia"/>
          <w:kern w:val="0"/>
          <w:sz w:val="24"/>
          <w:szCs w:val="24"/>
        </w:rPr>
        <w:lastRenderedPageBreak/>
        <w:t>富国基金管理有限公司</w:t>
      </w:r>
    </w:p>
    <w:p w:rsidR="003A394A" w:rsidRPr="00B832BF" w:rsidRDefault="00503051" w:rsidP="00503051">
      <w:pPr>
        <w:widowControl/>
        <w:spacing w:before="100" w:beforeAutospacing="1"/>
        <w:ind w:firstLine="420"/>
        <w:jc w:val="right"/>
        <w:rPr>
          <w:rFonts w:ascii="宋体" w:hAnsi="宋体" w:cs="宋体" w:hint="eastAsia"/>
          <w:color w:val="000000"/>
          <w:kern w:val="0"/>
          <w:sz w:val="24"/>
          <w:szCs w:val="24"/>
        </w:rPr>
      </w:pPr>
      <w:r>
        <w:rPr>
          <w:rFonts w:ascii="宋体" w:hAnsi="宋体" w:cs="宋体"/>
          <w:kern w:val="0"/>
          <w:sz w:val="24"/>
          <w:szCs w:val="24"/>
        </w:rPr>
        <w:t>2020</w:t>
      </w:r>
      <w:r w:rsidR="00A14545">
        <w:rPr>
          <w:rFonts w:ascii="宋体" w:hAnsi="宋体" w:cs="宋体" w:hint="eastAsia"/>
          <w:kern w:val="0"/>
          <w:sz w:val="24"/>
          <w:szCs w:val="24"/>
        </w:rPr>
        <w:t>年</w:t>
      </w:r>
      <w:r>
        <w:rPr>
          <w:rFonts w:ascii="宋体" w:hAnsi="宋体" w:cs="宋体"/>
          <w:kern w:val="0"/>
          <w:sz w:val="24"/>
          <w:szCs w:val="24"/>
        </w:rPr>
        <w:t>0</w:t>
      </w:r>
      <w:r w:rsidR="00196586">
        <w:rPr>
          <w:rFonts w:ascii="宋体" w:hAnsi="宋体" w:cs="宋体"/>
          <w:kern w:val="0"/>
          <w:sz w:val="24"/>
          <w:szCs w:val="24"/>
        </w:rPr>
        <w:t>9</w:t>
      </w:r>
      <w:r w:rsidR="00A14545">
        <w:rPr>
          <w:rFonts w:ascii="宋体" w:hAnsi="宋体" w:cs="宋体" w:hint="eastAsia"/>
          <w:kern w:val="0"/>
          <w:sz w:val="24"/>
          <w:szCs w:val="24"/>
        </w:rPr>
        <w:t>月</w:t>
      </w:r>
      <w:r w:rsidR="0016522E">
        <w:rPr>
          <w:rFonts w:ascii="宋体" w:hAnsi="宋体" w:cs="宋体"/>
          <w:kern w:val="0"/>
          <w:sz w:val="24"/>
          <w:szCs w:val="24"/>
        </w:rPr>
        <w:t>1</w:t>
      </w:r>
      <w:r w:rsidR="00196586">
        <w:rPr>
          <w:rFonts w:ascii="宋体" w:hAnsi="宋体" w:cs="宋体"/>
          <w:kern w:val="0"/>
          <w:sz w:val="24"/>
          <w:szCs w:val="24"/>
        </w:rPr>
        <w:t>7</w:t>
      </w:r>
      <w:r w:rsidR="00A14545">
        <w:rPr>
          <w:rFonts w:ascii="宋体" w:hAnsi="宋体" w:cs="宋体" w:hint="eastAsia"/>
          <w:kern w:val="0"/>
          <w:sz w:val="24"/>
          <w:szCs w:val="24"/>
        </w:rPr>
        <w:t>日</w:t>
      </w:r>
      <w:r w:rsidR="001420EB" w:rsidRPr="00FD1D1E">
        <w:rPr>
          <w:rFonts w:ascii="宋体" w:hAnsi="宋体" w:cs="宋体"/>
          <w:color w:val="000000"/>
          <w:kern w:val="0"/>
          <w:sz w:val="24"/>
          <w:szCs w:val="24"/>
        </w:rPr>
        <w:t xml:space="preserve"> </w:t>
      </w:r>
    </w:p>
    <w:sectPr w:rsidR="003A394A" w:rsidRPr="00B832BF" w:rsidSect="00ED2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4F" w:rsidRDefault="007B4A4F" w:rsidP="00CC37A0">
      <w:r>
        <w:separator/>
      </w:r>
    </w:p>
  </w:endnote>
  <w:endnote w:type="continuationSeparator" w:id="0">
    <w:p w:rsidR="007B4A4F" w:rsidRDefault="007B4A4F" w:rsidP="00CC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4F" w:rsidRDefault="007B4A4F" w:rsidP="00CC37A0">
      <w:r>
        <w:separator/>
      </w:r>
    </w:p>
  </w:footnote>
  <w:footnote w:type="continuationSeparator" w:id="0">
    <w:p w:rsidR="007B4A4F" w:rsidRDefault="007B4A4F" w:rsidP="00CC3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37E"/>
    <w:rsid w:val="0000031F"/>
    <w:rsid w:val="000236E9"/>
    <w:rsid w:val="000315D0"/>
    <w:rsid w:val="00032568"/>
    <w:rsid w:val="000330E3"/>
    <w:rsid w:val="0004190E"/>
    <w:rsid w:val="00047BD8"/>
    <w:rsid w:val="00050070"/>
    <w:rsid w:val="0006489F"/>
    <w:rsid w:val="00072C5B"/>
    <w:rsid w:val="0008430E"/>
    <w:rsid w:val="00085976"/>
    <w:rsid w:val="000922AB"/>
    <w:rsid w:val="000A3F32"/>
    <w:rsid w:val="000B5BCE"/>
    <w:rsid w:val="000C2A1C"/>
    <w:rsid w:val="000C6BBA"/>
    <w:rsid w:val="000C7F4B"/>
    <w:rsid w:val="000E31EF"/>
    <w:rsid w:val="000E44F6"/>
    <w:rsid w:val="000E5A74"/>
    <w:rsid w:val="000F23B7"/>
    <w:rsid w:val="000F42FC"/>
    <w:rsid w:val="00106014"/>
    <w:rsid w:val="00137D3A"/>
    <w:rsid w:val="001420EB"/>
    <w:rsid w:val="00142BD2"/>
    <w:rsid w:val="00146EB4"/>
    <w:rsid w:val="0015261E"/>
    <w:rsid w:val="0016522E"/>
    <w:rsid w:val="0018091A"/>
    <w:rsid w:val="0019183C"/>
    <w:rsid w:val="001957B1"/>
    <w:rsid w:val="00196586"/>
    <w:rsid w:val="001D0144"/>
    <w:rsid w:val="001E6159"/>
    <w:rsid w:val="001F535B"/>
    <w:rsid w:val="002056CB"/>
    <w:rsid w:val="00223164"/>
    <w:rsid w:val="00236FA5"/>
    <w:rsid w:val="00246F48"/>
    <w:rsid w:val="00256601"/>
    <w:rsid w:val="00261FF6"/>
    <w:rsid w:val="00265456"/>
    <w:rsid w:val="00293706"/>
    <w:rsid w:val="002950F3"/>
    <w:rsid w:val="002B7691"/>
    <w:rsid w:val="002C204E"/>
    <w:rsid w:val="002D668E"/>
    <w:rsid w:val="002E69BE"/>
    <w:rsid w:val="002F471D"/>
    <w:rsid w:val="0031062B"/>
    <w:rsid w:val="00311BA8"/>
    <w:rsid w:val="0034411B"/>
    <w:rsid w:val="00377F98"/>
    <w:rsid w:val="003863AF"/>
    <w:rsid w:val="003A394A"/>
    <w:rsid w:val="003B241E"/>
    <w:rsid w:val="003B35E9"/>
    <w:rsid w:val="003B480F"/>
    <w:rsid w:val="003B6B3F"/>
    <w:rsid w:val="003C41FF"/>
    <w:rsid w:val="003C6997"/>
    <w:rsid w:val="003E3D63"/>
    <w:rsid w:val="003E5026"/>
    <w:rsid w:val="003E7ADF"/>
    <w:rsid w:val="003F3D21"/>
    <w:rsid w:val="003F5BF3"/>
    <w:rsid w:val="003F5CDF"/>
    <w:rsid w:val="004115C2"/>
    <w:rsid w:val="0041486D"/>
    <w:rsid w:val="00434648"/>
    <w:rsid w:val="004665EF"/>
    <w:rsid w:val="00475029"/>
    <w:rsid w:val="004822DE"/>
    <w:rsid w:val="00484009"/>
    <w:rsid w:val="004A08E2"/>
    <w:rsid w:val="004A60C7"/>
    <w:rsid w:val="004C28CD"/>
    <w:rsid w:val="004E07FB"/>
    <w:rsid w:val="004E673F"/>
    <w:rsid w:val="004F3F4A"/>
    <w:rsid w:val="004F7DC6"/>
    <w:rsid w:val="005021B7"/>
    <w:rsid w:val="00503051"/>
    <w:rsid w:val="0052771A"/>
    <w:rsid w:val="00530E04"/>
    <w:rsid w:val="00531E6D"/>
    <w:rsid w:val="005333C9"/>
    <w:rsid w:val="005554E5"/>
    <w:rsid w:val="00564975"/>
    <w:rsid w:val="00595430"/>
    <w:rsid w:val="005B16F5"/>
    <w:rsid w:val="005C0230"/>
    <w:rsid w:val="005C2DC3"/>
    <w:rsid w:val="006027FA"/>
    <w:rsid w:val="00611390"/>
    <w:rsid w:val="0063433C"/>
    <w:rsid w:val="006371CB"/>
    <w:rsid w:val="006408E8"/>
    <w:rsid w:val="00647F2B"/>
    <w:rsid w:val="0065384E"/>
    <w:rsid w:val="006627C6"/>
    <w:rsid w:val="006755EA"/>
    <w:rsid w:val="00684B2D"/>
    <w:rsid w:val="00696A9B"/>
    <w:rsid w:val="006B5813"/>
    <w:rsid w:val="006C1562"/>
    <w:rsid w:val="006C166E"/>
    <w:rsid w:val="006C4626"/>
    <w:rsid w:val="006E1683"/>
    <w:rsid w:val="006E616E"/>
    <w:rsid w:val="006F75D9"/>
    <w:rsid w:val="007037F2"/>
    <w:rsid w:val="00724134"/>
    <w:rsid w:val="00724F46"/>
    <w:rsid w:val="00744C6C"/>
    <w:rsid w:val="00750345"/>
    <w:rsid w:val="007570BA"/>
    <w:rsid w:val="00764CBF"/>
    <w:rsid w:val="007779D3"/>
    <w:rsid w:val="007A021D"/>
    <w:rsid w:val="007A5AFC"/>
    <w:rsid w:val="007B2A9F"/>
    <w:rsid w:val="007B4A4F"/>
    <w:rsid w:val="007B56D0"/>
    <w:rsid w:val="007B75F2"/>
    <w:rsid w:val="007C5156"/>
    <w:rsid w:val="007C75D9"/>
    <w:rsid w:val="007E1EB9"/>
    <w:rsid w:val="007E2073"/>
    <w:rsid w:val="007E30A6"/>
    <w:rsid w:val="007F4BAE"/>
    <w:rsid w:val="00805840"/>
    <w:rsid w:val="00810C9D"/>
    <w:rsid w:val="008179EF"/>
    <w:rsid w:val="00821D5A"/>
    <w:rsid w:val="0082227C"/>
    <w:rsid w:val="00853C5E"/>
    <w:rsid w:val="0086164B"/>
    <w:rsid w:val="008A037E"/>
    <w:rsid w:val="008A04CA"/>
    <w:rsid w:val="008A3F03"/>
    <w:rsid w:val="008A618C"/>
    <w:rsid w:val="008D4872"/>
    <w:rsid w:val="008F3BF0"/>
    <w:rsid w:val="00901A50"/>
    <w:rsid w:val="009069A4"/>
    <w:rsid w:val="00907BD8"/>
    <w:rsid w:val="009335FF"/>
    <w:rsid w:val="00964D55"/>
    <w:rsid w:val="00966552"/>
    <w:rsid w:val="009668C7"/>
    <w:rsid w:val="00974A44"/>
    <w:rsid w:val="00995EB6"/>
    <w:rsid w:val="009C3F12"/>
    <w:rsid w:val="009C530A"/>
    <w:rsid w:val="009E1900"/>
    <w:rsid w:val="00A06E1C"/>
    <w:rsid w:val="00A07AC3"/>
    <w:rsid w:val="00A14545"/>
    <w:rsid w:val="00A23F9F"/>
    <w:rsid w:val="00A24F1D"/>
    <w:rsid w:val="00A26F15"/>
    <w:rsid w:val="00A40848"/>
    <w:rsid w:val="00A40971"/>
    <w:rsid w:val="00A41A4A"/>
    <w:rsid w:val="00A65ABB"/>
    <w:rsid w:val="00A8189F"/>
    <w:rsid w:val="00A81FAD"/>
    <w:rsid w:val="00A9221A"/>
    <w:rsid w:val="00A94551"/>
    <w:rsid w:val="00AA0FD1"/>
    <w:rsid w:val="00AB2340"/>
    <w:rsid w:val="00AB306F"/>
    <w:rsid w:val="00AC3E8D"/>
    <w:rsid w:val="00AC7A1D"/>
    <w:rsid w:val="00AC7F56"/>
    <w:rsid w:val="00AD2A0D"/>
    <w:rsid w:val="00AE30A4"/>
    <w:rsid w:val="00B02503"/>
    <w:rsid w:val="00B13272"/>
    <w:rsid w:val="00B26E3A"/>
    <w:rsid w:val="00B42208"/>
    <w:rsid w:val="00B42253"/>
    <w:rsid w:val="00B431C2"/>
    <w:rsid w:val="00B5579B"/>
    <w:rsid w:val="00B62473"/>
    <w:rsid w:val="00B72BAA"/>
    <w:rsid w:val="00B753F6"/>
    <w:rsid w:val="00B832BF"/>
    <w:rsid w:val="00B85962"/>
    <w:rsid w:val="00B95123"/>
    <w:rsid w:val="00BD4B84"/>
    <w:rsid w:val="00BE10B2"/>
    <w:rsid w:val="00C122D0"/>
    <w:rsid w:val="00C237D2"/>
    <w:rsid w:val="00C255A4"/>
    <w:rsid w:val="00C40659"/>
    <w:rsid w:val="00C42CBA"/>
    <w:rsid w:val="00C444CE"/>
    <w:rsid w:val="00C47340"/>
    <w:rsid w:val="00C551B8"/>
    <w:rsid w:val="00C85ED6"/>
    <w:rsid w:val="00CA08A1"/>
    <w:rsid w:val="00CC37A0"/>
    <w:rsid w:val="00CD032D"/>
    <w:rsid w:val="00CD782C"/>
    <w:rsid w:val="00CE1881"/>
    <w:rsid w:val="00CE3D83"/>
    <w:rsid w:val="00CE56A2"/>
    <w:rsid w:val="00D10A99"/>
    <w:rsid w:val="00D112B2"/>
    <w:rsid w:val="00D1291A"/>
    <w:rsid w:val="00D26CAC"/>
    <w:rsid w:val="00D41770"/>
    <w:rsid w:val="00D42E5F"/>
    <w:rsid w:val="00D55408"/>
    <w:rsid w:val="00D619BE"/>
    <w:rsid w:val="00D66FD5"/>
    <w:rsid w:val="00D727A4"/>
    <w:rsid w:val="00D74AF2"/>
    <w:rsid w:val="00D803DC"/>
    <w:rsid w:val="00D808C7"/>
    <w:rsid w:val="00D85433"/>
    <w:rsid w:val="00D859B3"/>
    <w:rsid w:val="00D96CA2"/>
    <w:rsid w:val="00DA5013"/>
    <w:rsid w:val="00DC00EB"/>
    <w:rsid w:val="00DC0FA0"/>
    <w:rsid w:val="00DD5C27"/>
    <w:rsid w:val="00DD677F"/>
    <w:rsid w:val="00DD6D6E"/>
    <w:rsid w:val="00DE3FCD"/>
    <w:rsid w:val="00DF25D2"/>
    <w:rsid w:val="00E00DC5"/>
    <w:rsid w:val="00E01F49"/>
    <w:rsid w:val="00E07149"/>
    <w:rsid w:val="00E130CA"/>
    <w:rsid w:val="00E31B3E"/>
    <w:rsid w:val="00E458F7"/>
    <w:rsid w:val="00E50C70"/>
    <w:rsid w:val="00E57552"/>
    <w:rsid w:val="00E8077B"/>
    <w:rsid w:val="00EB4B61"/>
    <w:rsid w:val="00EC21AA"/>
    <w:rsid w:val="00EC3C3A"/>
    <w:rsid w:val="00EC4627"/>
    <w:rsid w:val="00ED2E2E"/>
    <w:rsid w:val="00ED515D"/>
    <w:rsid w:val="00ED5B31"/>
    <w:rsid w:val="00ED69ED"/>
    <w:rsid w:val="00EE1AF3"/>
    <w:rsid w:val="00EE3160"/>
    <w:rsid w:val="00EF24FC"/>
    <w:rsid w:val="00EF4B5E"/>
    <w:rsid w:val="00F1353E"/>
    <w:rsid w:val="00F13C6A"/>
    <w:rsid w:val="00F40A0C"/>
    <w:rsid w:val="00F45241"/>
    <w:rsid w:val="00F51BD8"/>
    <w:rsid w:val="00F565E7"/>
    <w:rsid w:val="00F605B4"/>
    <w:rsid w:val="00F72B9E"/>
    <w:rsid w:val="00F747A9"/>
    <w:rsid w:val="00F81885"/>
    <w:rsid w:val="00F85CEE"/>
    <w:rsid w:val="00F862D6"/>
    <w:rsid w:val="00F91D8D"/>
    <w:rsid w:val="00FA7BE4"/>
    <w:rsid w:val="00FB5803"/>
    <w:rsid w:val="00FD0031"/>
    <w:rsid w:val="00FD1D1E"/>
    <w:rsid w:val="00FF3C86"/>
    <w:rsid w:val="00FF4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E"/>
    <w:pPr>
      <w:widowControl w:val="0"/>
      <w:jc w:val="both"/>
    </w:pPr>
    <w:rPr>
      <w:kern w:val="2"/>
      <w:sz w:val="21"/>
      <w:szCs w:val="22"/>
    </w:rPr>
  </w:style>
  <w:style w:type="paragraph" w:styleId="1">
    <w:name w:val="heading 1"/>
    <w:basedOn w:val="a"/>
    <w:link w:val="1Char"/>
    <w:uiPriority w:val="99"/>
    <w:qFormat/>
    <w:rsid w:val="00CC37A0"/>
    <w:pPr>
      <w:widowControl/>
      <w:spacing w:before="100" w:beforeAutospacing="1" w:after="100" w:afterAutospacing="1"/>
      <w:jc w:val="left"/>
      <w:outlineLvl w:val="0"/>
    </w:pPr>
    <w:rPr>
      <w:rFonts w:ascii="宋体" w:hAnsi="宋体"/>
      <w:b/>
      <w:bCs/>
      <w:color w:val="000000"/>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C37A0"/>
    <w:rPr>
      <w:rFonts w:ascii="宋体" w:eastAsia="宋体" w:hAnsi="宋体" w:cs="宋体"/>
      <w:b/>
      <w:bCs/>
      <w:color w:val="000000"/>
      <w:kern w:val="36"/>
      <w:sz w:val="48"/>
      <w:szCs w:val="48"/>
    </w:rPr>
  </w:style>
  <w:style w:type="paragraph" w:styleId="a3">
    <w:name w:val="header"/>
    <w:basedOn w:val="a"/>
    <w:link w:val="Char"/>
    <w:uiPriority w:val="99"/>
    <w:semiHidden/>
    <w:rsid w:val="00CC37A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CC37A0"/>
    <w:rPr>
      <w:rFonts w:cs="Times New Roman"/>
      <w:sz w:val="18"/>
      <w:szCs w:val="18"/>
    </w:rPr>
  </w:style>
  <w:style w:type="paragraph" w:styleId="a4">
    <w:name w:val="footer"/>
    <w:basedOn w:val="a"/>
    <w:link w:val="Char0"/>
    <w:uiPriority w:val="99"/>
    <w:semiHidden/>
    <w:rsid w:val="00CC37A0"/>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CC37A0"/>
    <w:rPr>
      <w:rFonts w:cs="Times New Roman"/>
      <w:sz w:val="18"/>
      <w:szCs w:val="18"/>
    </w:rPr>
  </w:style>
  <w:style w:type="character" w:styleId="a5">
    <w:name w:val="Hyperlink"/>
    <w:uiPriority w:val="99"/>
    <w:semiHidden/>
    <w:rsid w:val="00CC37A0"/>
    <w:rPr>
      <w:rFonts w:cs="Times New Roman"/>
      <w:color w:val="000000"/>
      <w:u w:val="none"/>
      <w:effect w:val="none"/>
    </w:rPr>
  </w:style>
  <w:style w:type="character" w:customStyle="1" w:styleId="agreen">
    <w:name w:val="agreen"/>
    <w:uiPriority w:val="99"/>
    <w:rsid w:val="00CC37A0"/>
    <w:rPr>
      <w:rFonts w:cs="Times New Roman"/>
    </w:rPr>
  </w:style>
  <w:style w:type="table" w:styleId="a6">
    <w:name w:val="Table Grid"/>
    <w:basedOn w:val="a1"/>
    <w:uiPriority w:val="99"/>
    <w:rsid w:val="00CC3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uiPriority w:val="99"/>
    <w:qFormat/>
    <w:rsid w:val="00F40A0C"/>
    <w:rPr>
      <w:rFonts w:cs="Times New Roman"/>
      <w:color w:val="CC0033"/>
    </w:rPr>
  </w:style>
  <w:style w:type="paragraph" w:styleId="a8">
    <w:name w:val="Balloon Text"/>
    <w:basedOn w:val="a"/>
    <w:link w:val="Char1"/>
    <w:uiPriority w:val="99"/>
    <w:semiHidden/>
    <w:unhideWhenUsed/>
    <w:rsid w:val="00AB2340"/>
    <w:rPr>
      <w:sz w:val="18"/>
      <w:szCs w:val="18"/>
      <w:lang/>
    </w:rPr>
  </w:style>
  <w:style w:type="character" w:customStyle="1" w:styleId="Char1">
    <w:name w:val="批注框文本 Char"/>
    <w:link w:val="a8"/>
    <w:uiPriority w:val="99"/>
    <w:semiHidden/>
    <w:rsid w:val="00AB2340"/>
    <w:rPr>
      <w:kern w:val="2"/>
      <w:sz w:val="18"/>
      <w:szCs w:val="18"/>
    </w:rPr>
  </w:style>
  <w:style w:type="character" w:styleId="a9">
    <w:name w:val="annotation reference"/>
    <w:uiPriority w:val="99"/>
    <w:semiHidden/>
    <w:unhideWhenUsed/>
    <w:rsid w:val="00AB2340"/>
    <w:rPr>
      <w:sz w:val="21"/>
      <w:szCs w:val="21"/>
    </w:rPr>
  </w:style>
  <w:style w:type="paragraph" w:styleId="aa">
    <w:name w:val="annotation text"/>
    <w:basedOn w:val="a"/>
    <w:link w:val="Char2"/>
    <w:uiPriority w:val="99"/>
    <w:semiHidden/>
    <w:unhideWhenUsed/>
    <w:rsid w:val="00AB2340"/>
    <w:pPr>
      <w:jc w:val="left"/>
    </w:pPr>
    <w:rPr>
      <w:lang/>
    </w:rPr>
  </w:style>
  <w:style w:type="character" w:customStyle="1" w:styleId="Char2">
    <w:name w:val="批注文字 Char"/>
    <w:link w:val="aa"/>
    <w:uiPriority w:val="99"/>
    <w:semiHidden/>
    <w:rsid w:val="00AB2340"/>
    <w:rPr>
      <w:kern w:val="2"/>
      <w:sz w:val="21"/>
      <w:szCs w:val="22"/>
    </w:rPr>
  </w:style>
  <w:style w:type="paragraph" w:styleId="ab">
    <w:name w:val="annotation subject"/>
    <w:basedOn w:val="aa"/>
    <w:next w:val="aa"/>
    <w:link w:val="Char3"/>
    <w:uiPriority w:val="99"/>
    <w:semiHidden/>
    <w:unhideWhenUsed/>
    <w:rsid w:val="00AB2340"/>
    <w:rPr>
      <w:b/>
      <w:bCs/>
    </w:rPr>
  </w:style>
  <w:style w:type="character" w:customStyle="1" w:styleId="Char3">
    <w:name w:val="批注主题 Char"/>
    <w:link w:val="ab"/>
    <w:uiPriority w:val="99"/>
    <w:semiHidden/>
    <w:rsid w:val="00AB2340"/>
    <w:rPr>
      <w:b/>
      <w:bCs/>
      <w:kern w:val="2"/>
      <w:sz w:val="21"/>
      <w:szCs w:val="22"/>
    </w:rPr>
  </w:style>
  <w:style w:type="paragraph" w:customStyle="1" w:styleId="Default">
    <w:name w:val="Default"/>
    <w:rsid w:val="00611390"/>
    <w:pPr>
      <w:widowControl w:val="0"/>
      <w:autoSpaceDE w:val="0"/>
      <w:autoSpaceDN w:val="0"/>
      <w:adjustRightInd w:val="0"/>
    </w:pPr>
    <w:rPr>
      <w:rFonts w:ascii="华文中宋" w:eastAsia="华文中宋" w:cs="华文中宋"/>
      <w:color w:val="000000"/>
      <w:sz w:val="24"/>
      <w:szCs w:val="24"/>
    </w:rPr>
  </w:style>
  <w:style w:type="paragraph" w:styleId="HTML">
    <w:name w:val="HTML Preformatted"/>
    <w:basedOn w:val="a"/>
    <w:link w:val="HTMLChar"/>
    <w:uiPriority w:val="99"/>
    <w:unhideWhenUsed/>
    <w:rsid w:val="00CE1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CE188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273551">
      <w:bodyDiv w:val="1"/>
      <w:marLeft w:val="0"/>
      <w:marRight w:val="0"/>
      <w:marTop w:val="0"/>
      <w:marBottom w:val="0"/>
      <w:divBdr>
        <w:top w:val="none" w:sz="0" w:space="0" w:color="auto"/>
        <w:left w:val="none" w:sz="0" w:space="0" w:color="auto"/>
        <w:bottom w:val="none" w:sz="0" w:space="0" w:color="auto"/>
        <w:right w:val="none" w:sz="0" w:space="0" w:color="auto"/>
      </w:divBdr>
    </w:div>
    <w:div w:id="70978291">
      <w:bodyDiv w:val="1"/>
      <w:marLeft w:val="0"/>
      <w:marRight w:val="0"/>
      <w:marTop w:val="0"/>
      <w:marBottom w:val="0"/>
      <w:divBdr>
        <w:top w:val="none" w:sz="0" w:space="0" w:color="auto"/>
        <w:left w:val="none" w:sz="0" w:space="0" w:color="auto"/>
        <w:bottom w:val="none" w:sz="0" w:space="0" w:color="auto"/>
        <w:right w:val="none" w:sz="0" w:space="0" w:color="auto"/>
      </w:divBdr>
    </w:div>
    <w:div w:id="106169610">
      <w:bodyDiv w:val="1"/>
      <w:marLeft w:val="0"/>
      <w:marRight w:val="0"/>
      <w:marTop w:val="0"/>
      <w:marBottom w:val="0"/>
      <w:divBdr>
        <w:top w:val="none" w:sz="0" w:space="0" w:color="auto"/>
        <w:left w:val="none" w:sz="0" w:space="0" w:color="auto"/>
        <w:bottom w:val="none" w:sz="0" w:space="0" w:color="auto"/>
        <w:right w:val="none" w:sz="0" w:space="0" w:color="auto"/>
      </w:divBdr>
    </w:div>
    <w:div w:id="127207808">
      <w:bodyDiv w:val="1"/>
      <w:marLeft w:val="0"/>
      <w:marRight w:val="0"/>
      <w:marTop w:val="0"/>
      <w:marBottom w:val="0"/>
      <w:divBdr>
        <w:top w:val="none" w:sz="0" w:space="0" w:color="auto"/>
        <w:left w:val="none" w:sz="0" w:space="0" w:color="auto"/>
        <w:bottom w:val="none" w:sz="0" w:space="0" w:color="auto"/>
        <w:right w:val="none" w:sz="0" w:space="0" w:color="auto"/>
      </w:divBdr>
    </w:div>
    <w:div w:id="202595031">
      <w:bodyDiv w:val="1"/>
      <w:marLeft w:val="0"/>
      <w:marRight w:val="0"/>
      <w:marTop w:val="0"/>
      <w:marBottom w:val="0"/>
      <w:divBdr>
        <w:top w:val="none" w:sz="0" w:space="0" w:color="auto"/>
        <w:left w:val="none" w:sz="0" w:space="0" w:color="auto"/>
        <w:bottom w:val="none" w:sz="0" w:space="0" w:color="auto"/>
        <w:right w:val="none" w:sz="0" w:space="0" w:color="auto"/>
      </w:divBdr>
    </w:div>
    <w:div w:id="367267274">
      <w:bodyDiv w:val="1"/>
      <w:marLeft w:val="0"/>
      <w:marRight w:val="0"/>
      <w:marTop w:val="0"/>
      <w:marBottom w:val="0"/>
      <w:divBdr>
        <w:top w:val="none" w:sz="0" w:space="0" w:color="auto"/>
        <w:left w:val="none" w:sz="0" w:space="0" w:color="auto"/>
        <w:bottom w:val="none" w:sz="0" w:space="0" w:color="auto"/>
        <w:right w:val="none" w:sz="0" w:space="0" w:color="auto"/>
      </w:divBdr>
    </w:div>
    <w:div w:id="384765180">
      <w:bodyDiv w:val="1"/>
      <w:marLeft w:val="0"/>
      <w:marRight w:val="0"/>
      <w:marTop w:val="0"/>
      <w:marBottom w:val="0"/>
      <w:divBdr>
        <w:top w:val="none" w:sz="0" w:space="0" w:color="auto"/>
        <w:left w:val="none" w:sz="0" w:space="0" w:color="auto"/>
        <w:bottom w:val="none" w:sz="0" w:space="0" w:color="auto"/>
        <w:right w:val="none" w:sz="0" w:space="0" w:color="auto"/>
      </w:divBdr>
    </w:div>
    <w:div w:id="388774683">
      <w:bodyDiv w:val="1"/>
      <w:marLeft w:val="0"/>
      <w:marRight w:val="0"/>
      <w:marTop w:val="0"/>
      <w:marBottom w:val="0"/>
      <w:divBdr>
        <w:top w:val="none" w:sz="0" w:space="0" w:color="auto"/>
        <w:left w:val="none" w:sz="0" w:space="0" w:color="auto"/>
        <w:bottom w:val="none" w:sz="0" w:space="0" w:color="auto"/>
        <w:right w:val="none" w:sz="0" w:space="0" w:color="auto"/>
      </w:divBdr>
    </w:div>
    <w:div w:id="399251580">
      <w:bodyDiv w:val="1"/>
      <w:marLeft w:val="0"/>
      <w:marRight w:val="0"/>
      <w:marTop w:val="0"/>
      <w:marBottom w:val="0"/>
      <w:divBdr>
        <w:top w:val="none" w:sz="0" w:space="0" w:color="auto"/>
        <w:left w:val="none" w:sz="0" w:space="0" w:color="auto"/>
        <w:bottom w:val="none" w:sz="0" w:space="0" w:color="auto"/>
        <w:right w:val="none" w:sz="0" w:space="0" w:color="auto"/>
      </w:divBdr>
    </w:div>
    <w:div w:id="452602782">
      <w:bodyDiv w:val="1"/>
      <w:marLeft w:val="0"/>
      <w:marRight w:val="0"/>
      <w:marTop w:val="0"/>
      <w:marBottom w:val="0"/>
      <w:divBdr>
        <w:top w:val="none" w:sz="0" w:space="0" w:color="auto"/>
        <w:left w:val="none" w:sz="0" w:space="0" w:color="auto"/>
        <w:bottom w:val="none" w:sz="0" w:space="0" w:color="auto"/>
        <w:right w:val="none" w:sz="0" w:space="0" w:color="auto"/>
      </w:divBdr>
    </w:div>
    <w:div w:id="453912247">
      <w:bodyDiv w:val="1"/>
      <w:marLeft w:val="0"/>
      <w:marRight w:val="0"/>
      <w:marTop w:val="0"/>
      <w:marBottom w:val="0"/>
      <w:divBdr>
        <w:top w:val="none" w:sz="0" w:space="0" w:color="auto"/>
        <w:left w:val="none" w:sz="0" w:space="0" w:color="auto"/>
        <w:bottom w:val="none" w:sz="0" w:space="0" w:color="auto"/>
        <w:right w:val="none" w:sz="0" w:space="0" w:color="auto"/>
      </w:divBdr>
    </w:div>
    <w:div w:id="460224933">
      <w:bodyDiv w:val="1"/>
      <w:marLeft w:val="0"/>
      <w:marRight w:val="0"/>
      <w:marTop w:val="0"/>
      <w:marBottom w:val="0"/>
      <w:divBdr>
        <w:top w:val="none" w:sz="0" w:space="0" w:color="auto"/>
        <w:left w:val="none" w:sz="0" w:space="0" w:color="auto"/>
        <w:bottom w:val="none" w:sz="0" w:space="0" w:color="auto"/>
        <w:right w:val="none" w:sz="0" w:space="0" w:color="auto"/>
      </w:divBdr>
    </w:div>
    <w:div w:id="541556003">
      <w:bodyDiv w:val="1"/>
      <w:marLeft w:val="0"/>
      <w:marRight w:val="0"/>
      <w:marTop w:val="0"/>
      <w:marBottom w:val="0"/>
      <w:divBdr>
        <w:top w:val="none" w:sz="0" w:space="0" w:color="auto"/>
        <w:left w:val="none" w:sz="0" w:space="0" w:color="auto"/>
        <w:bottom w:val="none" w:sz="0" w:space="0" w:color="auto"/>
        <w:right w:val="none" w:sz="0" w:space="0" w:color="auto"/>
      </w:divBdr>
    </w:div>
    <w:div w:id="558593944">
      <w:bodyDiv w:val="1"/>
      <w:marLeft w:val="0"/>
      <w:marRight w:val="0"/>
      <w:marTop w:val="0"/>
      <w:marBottom w:val="0"/>
      <w:divBdr>
        <w:top w:val="none" w:sz="0" w:space="0" w:color="auto"/>
        <w:left w:val="none" w:sz="0" w:space="0" w:color="auto"/>
        <w:bottom w:val="none" w:sz="0" w:space="0" w:color="auto"/>
        <w:right w:val="none" w:sz="0" w:space="0" w:color="auto"/>
      </w:divBdr>
    </w:div>
    <w:div w:id="626543312">
      <w:bodyDiv w:val="1"/>
      <w:marLeft w:val="0"/>
      <w:marRight w:val="0"/>
      <w:marTop w:val="0"/>
      <w:marBottom w:val="0"/>
      <w:divBdr>
        <w:top w:val="none" w:sz="0" w:space="0" w:color="auto"/>
        <w:left w:val="none" w:sz="0" w:space="0" w:color="auto"/>
        <w:bottom w:val="none" w:sz="0" w:space="0" w:color="auto"/>
        <w:right w:val="none" w:sz="0" w:space="0" w:color="auto"/>
      </w:divBdr>
    </w:div>
    <w:div w:id="681124295">
      <w:bodyDiv w:val="1"/>
      <w:marLeft w:val="0"/>
      <w:marRight w:val="0"/>
      <w:marTop w:val="0"/>
      <w:marBottom w:val="0"/>
      <w:divBdr>
        <w:top w:val="none" w:sz="0" w:space="0" w:color="auto"/>
        <w:left w:val="none" w:sz="0" w:space="0" w:color="auto"/>
        <w:bottom w:val="none" w:sz="0" w:space="0" w:color="auto"/>
        <w:right w:val="none" w:sz="0" w:space="0" w:color="auto"/>
      </w:divBdr>
    </w:div>
    <w:div w:id="736323842">
      <w:bodyDiv w:val="1"/>
      <w:marLeft w:val="0"/>
      <w:marRight w:val="0"/>
      <w:marTop w:val="0"/>
      <w:marBottom w:val="0"/>
      <w:divBdr>
        <w:top w:val="none" w:sz="0" w:space="0" w:color="auto"/>
        <w:left w:val="none" w:sz="0" w:space="0" w:color="auto"/>
        <w:bottom w:val="none" w:sz="0" w:space="0" w:color="auto"/>
        <w:right w:val="none" w:sz="0" w:space="0" w:color="auto"/>
      </w:divBdr>
    </w:div>
    <w:div w:id="791948588">
      <w:bodyDiv w:val="1"/>
      <w:marLeft w:val="0"/>
      <w:marRight w:val="0"/>
      <w:marTop w:val="0"/>
      <w:marBottom w:val="0"/>
      <w:divBdr>
        <w:top w:val="none" w:sz="0" w:space="0" w:color="auto"/>
        <w:left w:val="none" w:sz="0" w:space="0" w:color="auto"/>
        <w:bottom w:val="none" w:sz="0" w:space="0" w:color="auto"/>
        <w:right w:val="none" w:sz="0" w:space="0" w:color="auto"/>
      </w:divBdr>
    </w:div>
    <w:div w:id="794258356">
      <w:bodyDiv w:val="1"/>
      <w:marLeft w:val="0"/>
      <w:marRight w:val="0"/>
      <w:marTop w:val="0"/>
      <w:marBottom w:val="0"/>
      <w:divBdr>
        <w:top w:val="none" w:sz="0" w:space="0" w:color="auto"/>
        <w:left w:val="none" w:sz="0" w:space="0" w:color="auto"/>
        <w:bottom w:val="none" w:sz="0" w:space="0" w:color="auto"/>
        <w:right w:val="none" w:sz="0" w:space="0" w:color="auto"/>
      </w:divBdr>
    </w:div>
    <w:div w:id="833758532">
      <w:bodyDiv w:val="1"/>
      <w:marLeft w:val="0"/>
      <w:marRight w:val="0"/>
      <w:marTop w:val="0"/>
      <w:marBottom w:val="0"/>
      <w:divBdr>
        <w:top w:val="none" w:sz="0" w:space="0" w:color="auto"/>
        <w:left w:val="none" w:sz="0" w:space="0" w:color="auto"/>
        <w:bottom w:val="none" w:sz="0" w:space="0" w:color="auto"/>
        <w:right w:val="none" w:sz="0" w:space="0" w:color="auto"/>
      </w:divBdr>
    </w:div>
    <w:div w:id="864633446">
      <w:bodyDiv w:val="1"/>
      <w:marLeft w:val="0"/>
      <w:marRight w:val="0"/>
      <w:marTop w:val="0"/>
      <w:marBottom w:val="0"/>
      <w:divBdr>
        <w:top w:val="none" w:sz="0" w:space="0" w:color="auto"/>
        <w:left w:val="none" w:sz="0" w:space="0" w:color="auto"/>
        <w:bottom w:val="none" w:sz="0" w:space="0" w:color="auto"/>
        <w:right w:val="none" w:sz="0" w:space="0" w:color="auto"/>
      </w:divBdr>
    </w:div>
    <w:div w:id="909847428">
      <w:bodyDiv w:val="1"/>
      <w:marLeft w:val="0"/>
      <w:marRight w:val="0"/>
      <w:marTop w:val="0"/>
      <w:marBottom w:val="0"/>
      <w:divBdr>
        <w:top w:val="none" w:sz="0" w:space="0" w:color="auto"/>
        <w:left w:val="none" w:sz="0" w:space="0" w:color="auto"/>
        <w:bottom w:val="none" w:sz="0" w:space="0" w:color="auto"/>
        <w:right w:val="none" w:sz="0" w:space="0" w:color="auto"/>
      </w:divBdr>
    </w:div>
    <w:div w:id="1089237465">
      <w:bodyDiv w:val="1"/>
      <w:marLeft w:val="0"/>
      <w:marRight w:val="0"/>
      <w:marTop w:val="0"/>
      <w:marBottom w:val="0"/>
      <w:divBdr>
        <w:top w:val="none" w:sz="0" w:space="0" w:color="auto"/>
        <w:left w:val="none" w:sz="0" w:space="0" w:color="auto"/>
        <w:bottom w:val="none" w:sz="0" w:space="0" w:color="auto"/>
        <w:right w:val="none" w:sz="0" w:space="0" w:color="auto"/>
      </w:divBdr>
    </w:div>
    <w:div w:id="1121190229">
      <w:bodyDiv w:val="1"/>
      <w:marLeft w:val="0"/>
      <w:marRight w:val="0"/>
      <w:marTop w:val="0"/>
      <w:marBottom w:val="0"/>
      <w:divBdr>
        <w:top w:val="none" w:sz="0" w:space="0" w:color="auto"/>
        <w:left w:val="none" w:sz="0" w:space="0" w:color="auto"/>
        <w:bottom w:val="none" w:sz="0" w:space="0" w:color="auto"/>
        <w:right w:val="none" w:sz="0" w:space="0" w:color="auto"/>
      </w:divBdr>
    </w:div>
    <w:div w:id="1130249194">
      <w:bodyDiv w:val="1"/>
      <w:marLeft w:val="0"/>
      <w:marRight w:val="0"/>
      <w:marTop w:val="0"/>
      <w:marBottom w:val="0"/>
      <w:divBdr>
        <w:top w:val="none" w:sz="0" w:space="0" w:color="auto"/>
        <w:left w:val="none" w:sz="0" w:space="0" w:color="auto"/>
        <w:bottom w:val="none" w:sz="0" w:space="0" w:color="auto"/>
        <w:right w:val="none" w:sz="0" w:space="0" w:color="auto"/>
      </w:divBdr>
    </w:div>
    <w:div w:id="1139879019">
      <w:bodyDiv w:val="1"/>
      <w:marLeft w:val="0"/>
      <w:marRight w:val="0"/>
      <w:marTop w:val="0"/>
      <w:marBottom w:val="0"/>
      <w:divBdr>
        <w:top w:val="none" w:sz="0" w:space="0" w:color="auto"/>
        <w:left w:val="none" w:sz="0" w:space="0" w:color="auto"/>
        <w:bottom w:val="none" w:sz="0" w:space="0" w:color="auto"/>
        <w:right w:val="none" w:sz="0" w:space="0" w:color="auto"/>
      </w:divBdr>
    </w:div>
    <w:div w:id="1190218756">
      <w:bodyDiv w:val="1"/>
      <w:marLeft w:val="0"/>
      <w:marRight w:val="0"/>
      <w:marTop w:val="0"/>
      <w:marBottom w:val="0"/>
      <w:divBdr>
        <w:top w:val="none" w:sz="0" w:space="0" w:color="auto"/>
        <w:left w:val="none" w:sz="0" w:space="0" w:color="auto"/>
        <w:bottom w:val="none" w:sz="0" w:space="0" w:color="auto"/>
        <w:right w:val="none" w:sz="0" w:space="0" w:color="auto"/>
      </w:divBdr>
    </w:div>
    <w:div w:id="1229803428">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255015494">
      <w:bodyDiv w:val="1"/>
      <w:marLeft w:val="0"/>
      <w:marRight w:val="0"/>
      <w:marTop w:val="0"/>
      <w:marBottom w:val="0"/>
      <w:divBdr>
        <w:top w:val="none" w:sz="0" w:space="0" w:color="auto"/>
        <w:left w:val="none" w:sz="0" w:space="0" w:color="auto"/>
        <w:bottom w:val="none" w:sz="0" w:space="0" w:color="auto"/>
        <w:right w:val="none" w:sz="0" w:space="0" w:color="auto"/>
      </w:divBdr>
    </w:div>
    <w:div w:id="1258757287">
      <w:bodyDiv w:val="1"/>
      <w:marLeft w:val="0"/>
      <w:marRight w:val="0"/>
      <w:marTop w:val="0"/>
      <w:marBottom w:val="0"/>
      <w:divBdr>
        <w:top w:val="none" w:sz="0" w:space="0" w:color="auto"/>
        <w:left w:val="none" w:sz="0" w:space="0" w:color="auto"/>
        <w:bottom w:val="none" w:sz="0" w:space="0" w:color="auto"/>
        <w:right w:val="none" w:sz="0" w:space="0" w:color="auto"/>
      </w:divBdr>
    </w:div>
    <w:div w:id="1270508590">
      <w:bodyDiv w:val="1"/>
      <w:marLeft w:val="0"/>
      <w:marRight w:val="0"/>
      <w:marTop w:val="0"/>
      <w:marBottom w:val="0"/>
      <w:divBdr>
        <w:top w:val="none" w:sz="0" w:space="0" w:color="auto"/>
        <w:left w:val="none" w:sz="0" w:space="0" w:color="auto"/>
        <w:bottom w:val="none" w:sz="0" w:space="0" w:color="auto"/>
        <w:right w:val="none" w:sz="0" w:space="0" w:color="auto"/>
      </w:divBdr>
    </w:div>
    <w:div w:id="1293707347">
      <w:bodyDiv w:val="1"/>
      <w:marLeft w:val="0"/>
      <w:marRight w:val="0"/>
      <w:marTop w:val="0"/>
      <w:marBottom w:val="0"/>
      <w:divBdr>
        <w:top w:val="none" w:sz="0" w:space="0" w:color="auto"/>
        <w:left w:val="none" w:sz="0" w:space="0" w:color="auto"/>
        <w:bottom w:val="none" w:sz="0" w:space="0" w:color="auto"/>
        <w:right w:val="none" w:sz="0" w:space="0" w:color="auto"/>
      </w:divBdr>
    </w:div>
    <w:div w:id="1325279456">
      <w:bodyDiv w:val="1"/>
      <w:marLeft w:val="0"/>
      <w:marRight w:val="0"/>
      <w:marTop w:val="0"/>
      <w:marBottom w:val="0"/>
      <w:divBdr>
        <w:top w:val="none" w:sz="0" w:space="0" w:color="auto"/>
        <w:left w:val="none" w:sz="0" w:space="0" w:color="auto"/>
        <w:bottom w:val="none" w:sz="0" w:space="0" w:color="auto"/>
        <w:right w:val="none" w:sz="0" w:space="0" w:color="auto"/>
      </w:divBdr>
    </w:div>
    <w:div w:id="1425833665">
      <w:bodyDiv w:val="1"/>
      <w:marLeft w:val="0"/>
      <w:marRight w:val="0"/>
      <w:marTop w:val="0"/>
      <w:marBottom w:val="0"/>
      <w:divBdr>
        <w:top w:val="none" w:sz="0" w:space="0" w:color="auto"/>
        <w:left w:val="none" w:sz="0" w:space="0" w:color="auto"/>
        <w:bottom w:val="none" w:sz="0" w:space="0" w:color="auto"/>
        <w:right w:val="none" w:sz="0" w:space="0" w:color="auto"/>
      </w:divBdr>
    </w:div>
    <w:div w:id="1481728655">
      <w:bodyDiv w:val="1"/>
      <w:marLeft w:val="0"/>
      <w:marRight w:val="0"/>
      <w:marTop w:val="0"/>
      <w:marBottom w:val="0"/>
      <w:divBdr>
        <w:top w:val="none" w:sz="0" w:space="0" w:color="auto"/>
        <w:left w:val="none" w:sz="0" w:space="0" w:color="auto"/>
        <w:bottom w:val="none" w:sz="0" w:space="0" w:color="auto"/>
        <w:right w:val="none" w:sz="0" w:space="0" w:color="auto"/>
      </w:divBdr>
    </w:div>
    <w:div w:id="1552114796">
      <w:bodyDiv w:val="1"/>
      <w:marLeft w:val="0"/>
      <w:marRight w:val="0"/>
      <w:marTop w:val="0"/>
      <w:marBottom w:val="0"/>
      <w:divBdr>
        <w:top w:val="none" w:sz="0" w:space="0" w:color="auto"/>
        <w:left w:val="none" w:sz="0" w:space="0" w:color="auto"/>
        <w:bottom w:val="none" w:sz="0" w:space="0" w:color="auto"/>
        <w:right w:val="none" w:sz="0" w:space="0" w:color="auto"/>
      </w:divBdr>
    </w:div>
    <w:div w:id="1554002134">
      <w:bodyDiv w:val="1"/>
      <w:marLeft w:val="0"/>
      <w:marRight w:val="0"/>
      <w:marTop w:val="0"/>
      <w:marBottom w:val="0"/>
      <w:divBdr>
        <w:top w:val="none" w:sz="0" w:space="0" w:color="auto"/>
        <w:left w:val="none" w:sz="0" w:space="0" w:color="auto"/>
        <w:bottom w:val="none" w:sz="0" w:space="0" w:color="auto"/>
        <w:right w:val="none" w:sz="0" w:space="0" w:color="auto"/>
      </w:divBdr>
    </w:div>
    <w:div w:id="1630745061">
      <w:bodyDiv w:val="1"/>
      <w:marLeft w:val="0"/>
      <w:marRight w:val="0"/>
      <w:marTop w:val="0"/>
      <w:marBottom w:val="0"/>
      <w:divBdr>
        <w:top w:val="none" w:sz="0" w:space="0" w:color="auto"/>
        <w:left w:val="none" w:sz="0" w:space="0" w:color="auto"/>
        <w:bottom w:val="none" w:sz="0" w:space="0" w:color="auto"/>
        <w:right w:val="none" w:sz="0" w:space="0" w:color="auto"/>
      </w:divBdr>
    </w:div>
    <w:div w:id="1652901583">
      <w:marLeft w:val="0"/>
      <w:marRight w:val="0"/>
      <w:marTop w:val="0"/>
      <w:marBottom w:val="0"/>
      <w:divBdr>
        <w:top w:val="none" w:sz="0" w:space="0" w:color="auto"/>
        <w:left w:val="none" w:sz="0" w:space="0" w:color="auto"/>
        <w:bottom w:val="none" w:sz="0" w:space="0" w:color="auto"/>
        <w:right w:val="none" w:sz="0" w:space="0" w:color="auto"/>
      </w:divBdr>
      <w:divsChild>
        <w:div w:id="1652901581">
          <w:marLeft w:val="0"/>
          <w:marRight w:val="0"/>
          <w:marTop w:val="0"/>
          <w:marBottom w:val="0"/>
          <w:divBdr>
            <w:top w:val="none" w:sz="0" w:space="0" w:color="auto"/>
            <w:left w:val="none" w:sz="0" w:space="0" w:color="auto"/>
            <w:bottom w:val="none" w:sz="0" w:space="0" w:color="auto"/>
            <w:right w:val="none" w:sz="0" w:space="0" w:color="auto"/>
          </w:divBdr>
          <w:divsChild>
            <w:div w:id="1652901585">
              <w:marLeft w:val="0"/>
              <w:marRight w:val="120"/>
              <w:marTop w:val="0"/>
              <w:marBottom w:val="0"/>
              <w:divBdr>
                <w:top w:val="none" w:sz="0" w:space="0" w:color="auto"/>
                <w:left w:val="none" w:sz="0" w:space="0" w:color="auto"/>
                <w:bottom w:val="none" w:sz="0" w:space="0" w:color="auto"/>
                <w:right w:val="none" w:sz="0" w:space="0" w:color="auto"/>
              </w:divBdr>
              <w:divsChild>
                <w:div w:id="1652901582">
                  <w:marLeft w:val="0"/>
                  <w:marRight w:val="0"/>
                  <w:marTop w:val="0"/>
                  <w:marBottom w:val="0"/>
                  <w:divBdr>
                    <w:top w:val="none" w:sz="0" w:space="0" w:color="auto"/>
                    <w:left w:val="none" w:sz="0" w:space="0" w:color="auto"/>
                    <w:bottom w:val="none" w:sz="0" w:space="0" w:color="auto"/>
                    <w:right w:val="none" w:sz="0" w:space="0" w:color="auto"/>
                  </w:divBdr>
                  <w:divsChild>
                    <w:div w:id="1652901584">
                      <w:marLeft w:val="0"/>
                      <w:marRight w:val="0"/>
                      <w:marTop w:val="300"/>
                      <w:marBottom w:val="420"/>
                      <w:divBdr>
                        <w:top w:val="none" w:sz="0" w:space="0" w:color="auto"/>
                        <w:left w:val="none" w:sz="0" w:space="0" w:color="auto"/>
                        <w:bottom w:val="none" w:sz="0" w:space="0" w:color="auto"/>
                        <w:right w:val="none" w:sz="0" w:space="0" w:color="auto"/>
                      </w:divBdr>
                    </w:div>
                  </w:divsChild>
                </w:div>
              </w:divsChild>
            </w:div>
          </w:divsChild>
        </w:div>
      </w:divsChild>
    </w:div>
    <w:div w:id="1676684293">
      <w:bodyDiv w:val="1"/>
      <w:marLeft w:val="0"/>
      <w:marRight w:val="0"/>
      <w:marTop w:val="0"/>
      <w:marBottom w:val="0"/>
      <w:divBdr>
        <w:top w:val="none" w:sz="0" w:space="0" w:color="auto"/>
        <w:left w:val="none" w:sz="0" w:space="0" w:color="auto"/>
        <w:bottom w:val="none" w:sz="0" w:space="0" w:color="auto"/>
        <w:right w:val="none" w:sz="0" w:space="0" w:color="auto"/>
      </w:divBdr>
    </w:div>
    <w:div w:id="1772310512">
      <w:bodyDiv w:val="1"/>
      <w:marLeft w:val="0"/>
      <w:marRight w:val="0"/>
      <w:marTop w:val="0"/>
      <w:marBottom w:val="0"/>
      <w:divBdr>
        <w:top w:val="none" w:sz="0" w:space="0" w:color="auto"/>
        <w:left w:val="none" w:sz="0" w:space="0" w:color="auto"/>
        <w:bottom w:val="none" w:sz="0" w:space="0" w:color="auto"/>
        <w:right w:val="none" w:sz="0" w:space="0" w:color="auto"/>
      </w:divBdr>
    </w:div>
    <w:div w:id="1784691489">
      <w:bodyDiv w:val="1"/>
      <w:marLeft w:val="0"/>
      <w:marRight w:val="0"/>
      <w:marTop w:val="0"/>
      <w:marBottom w:val="0"/>
      <w:divBdr>
        <w:top w:val="none" w:sz="0" w:space="0" w:color="auto"/>
        <w:left w:val="none" w:sz="0" w:space="0" w:color="auto"/>
        <w:bottom w:val="none" w:sz="0" w:space="0" w:color="auto"/>
        <w:right w:val="none" w:sz="0" w:space="0" w:color="auto"/>
      </w:divBdr>
    </w:div>
    <w:div w:id="1936857780">
      <w:bodyDiv w:val="1"/>
      <w:marLeft w:val="0"/>
      <w:marRight w:val="0"/>
      <w:marTop w:val="0"/>
      <w:marBottom w:val="0"/>
      <w:divBdr>
        <w:top w:val="none" w:sz="0" w:space="0" w:color="auto"/>
        <w:left w:val="none" w:sz="0" w:space="0" w:color="auto"/>
        <w:bottom w:val="none" w:sz="0" w:space="0" w:color="auto"/>
        <w:right w:val="none" w:sz="0" w:space="0" w:color="auto"/>
      </w:divBdr>
    </w:div>
    <w:div w:id="2022396393">
      <w:bodyDiv w:val="1"/>
      <w:marLeft w:val="0"/>
      <w:marRight w:val="0"/>
      <w:marTop w:val="0"/>
      <w:marBottom w:val="0"/>
      <w:divBdr>
        <w:top w:val="none" w:sz="0" w:space="0" w:color="auto"/>
        <w:left w:val="none" w:sz="0" w:space="0" w:color="auto"/>
        <w:bottom w:val="none" w:sz="0" w:space="0" w:color="auto"/>
        <w:right w:val="none" w:sz="0" w:space="0" w:color="auto"/>
      </w:divBdr>
    </w:div>
    <w:div w:id="2056544033">
      <w:bodyDiv w:val="1"/>
      <w:marLeft w:val="0"/>
      <w:marRight w:val="0"/>
      <w:marTop w:val="0"/>
      <w:marBottom w:val="0"/>
      <w:divBdr>
        <w:top w:val="none" w:sz="0" w:space="0" w:color="auto"/>
        <w:left w:val="none" w:sz="0" w:space="0" w:color="auto"/>
        <w:bottom w:val="none" w:sz="0" w:space="0" w:color="auto"/>
        <w:right w:val="none" w:sz="0" w:space="0" w:color="auto"/>
      </w:divBdr>
    </w:div>
    <w:div w:id="20658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F5D11-ECE4-4610-B308-C7BD8E50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4</DocSecurity>
  <Lines>6</Lines>
  <Paragraphs>1</Paragraphs>
  <ScaleCrop>false</ScaleCrop>
  <Company>fullgoal</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富国基金管理有限公司关于旗下基金投资非公开发行股票的</dc:title>
  <dc:subject/>
  <dc:creator>wujune</dc:creator>
  <cp:keywords/>
  <cp:lastModifiedBy>ZHONGM</cp:lastModifiedBy>
  <cp:revision>2</cp:revision>
  <cp:lastPrinted>2010-07-02T11:05:00Z</cp:lastPrinted>
  <dcterms:created xsi:type="dcterms:W3CDTF">2020-09-16T16:15:00Z</dcterms:created>
  <dcterms:modified xsi:type="dcterms:W3CDTF">2020-09-16T16:15:00Z</dcterms:modified>
</cp:coreProperties>
</file>