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84" w:rsidRPr="00504775" w:rsidRDefault="00DB2677">
      <w:pPr>
        <w:spacing w:line="360" w:lineRule="auto"/>
        <w:ind w:firstLineChars="300" w:firstLine="723"/>
        <w:jc w:val="center"/>
        <w:rPr>
          <w:rFonts w:ascii="Times New Roman" w:hAnsi="Times New Roman"/>
          <w:b/>
          <w:sz w:val="24"/>
          <w:szCs w:val="24"/>
        </w:rPr>
      </w:pPr>
      <w:r w:rsidRPr="00504775">
        <w:rPr>
          <w:rFonts w:ascii="Times New Roman" w:hAnsi="Times New Roman" w:hint="eastAsia"/>
          <w:b/>
          <w:sz w:val="24"/>
          <w:szCs w:val="24"/>
        </w:rPr>
        <w:t>长盛基金</w:t>
      </w:r>
      <w:r w:rsidR="00CF0384" w:rsidRPr="00504775">
        <w:rPr>
          <w:rFonts w:ascii="Times New Roman" w:hAnsi="Times New Roman" w:hint="eastAsia"/>
          <w:b/>
          <w:sz w:val="24"/>
          <w:szCs w:val="24"/>
        </w:rPr>
        <w:t>管理有限公司</w:t>
      </w:r>
    </w:p>
    <w:p w:rsidR="00B56454" w:rsidRPr="00504775" w:rsidRDefault="00DB2677">
      <w:pPr>
        <w:spacing w:line="360" w:lineRule="auto"/>
        <w:ind w:firstLineChars="300" w:firstLine="723"/>
        <w:jc w:val="center"/>
        <w:rPr>
          <w:rFonts w:ascii="Times New Roman" w:hAnsi="Times New Roman"/>
          <w:sz w:val="24"/>
          <w:szCs w:val="24"/>
        </w:rPr>
      </w:pPr>
      <w:r w:rsidRPr="00504775">
        <w:rPr>
          <w:rFonts w:ascii="Times New Roman" w:hAnsi="Times New Roman" w:hint="eastAsia"/>
          <w:b/>
          <w:sz w:val="24"/>
          <w:szCs w:val="24"/>
        </w:rPr>
        <w:t>关于旗下</w:t>
      </w:r>
      <w:r w:rsidR="00CF0384" w:rsidRPr="00504775">
        <w:rPr>
          <w:rFonts w:ascii="Times New Roman" w:hAnsi="Times New Roman" w:hint="eastAsia"/>
          <w:b/>
          <w:sz w:val="24"/>
          <w:szCs w:val="24"/>
        </w:rPr>
        <w:t>三</w:t>
      </w:r>
      <w:r w:rsidRPr="00504775">
        <w:rPr>
          <w:rFonts w:ascii="Times New Roman" w:hAnsi="Times New Roman" w:hint="eastAsia"/>
          <w:b/>
          <w:sz w:val="24"/>
          <w:szCs w:val="24"/>
        </w:rPr>
        <w:t>只证券投资基金变更业绩比较基准并修改基金合同的公告</w:t>
      </w:r>
    </w:p>
    <w:p w:rsidR="00DB2677" w:rsidRPr="00504775" w:rsidRDefault="00DB2677" w:rsidP="00A25083">
      <w:pPr>
        <w:spacing w:line="460" w:lineRule="exact"/>
        <w:ind w:firstLineChars="200" w:firstLine="480"/>
        <w:rPr>
          <w:rFonts w:ascii="Times New Roman" w:hAnsi="Times New Roman"/>
          <w:sz w:val="24"/>
          <w:szCs w:val="24"/>
        </w:rPr>
      </w:pPr>
    </w:p>
    <w:p w:rsidR="00B11764" w:rsidRPr="00504775" w:rsidRDefault="00B11764" w:rsidP="00A25083">
      <w:pPr>
        <w:spacing w:line="460" w:lineRule="exact"/>
        <w:ind w:firstLineChars="200" w:firstLine="480"/>
        <w:rPr>
          <w:rFonts w:ascii="Times New Roman" w:hAnsi="Times New Roman"/>
          <w:sz w:val="24"/>
          <w:szCs w:val="24"/>
        </w:rPr>
      </w:pPr>
      <w:bookmarkStart w:id="0" w:name="_Hlk50618871"/>
      <w:r w:rsidRPr="00504775">
        <w:rPr>
          <w:rFonts w:ascii="Times New Roman" w:hAnsi="Times New Roman" w:hint="eastAsia"/>
          <w:sz w:val="24"/>
          <w:szCs w:val="24"/>
        </w:rPr>
        <w:t>由于标普道琼斯指数有限公司将于近期停止计算标普中国</w:t>
      </w:r>
      <w:r w:rsidRPr="00504775">
        <w:rPr>
          <w:rFonts w:ascii="Times New Roman" w:hAnsi="Times New Roman" w:hint="eastAsia"/>
          <w:sz w:val="24"/>
          <w:szCs w:val="24"/>
        </w:rPr>
        <w:t>A</w:t>
      </w:r>
      <w:r w:rsidRPr="00504775">
        <w:rPr>
          <w:rFonts w:ascii="Times New Roman" w:hAnsi="Times New Roman" w:hint="eastAsia"/>
          <w:sz w:val="24"/>
          <w:szCs w:val="24"/>
        </w:rPr>
        <w:t>股综合指数行情数据，经与</w:t>
      </w:r>
      <w:r w:rsidR="00CF0384" w:rsidRPr="00504775">
        <w:rPr>
          <w:rFonts w:ascii="Times New Roman" w:hAnsi="Times New Roman" w:hint="eastAsia"/>
          <w:sz w:val="24"/>
          <w:szCs w:val="24"/>
        </w:rPr>
        <w:t>基金</w:t>
      </w:r>
      <w:r w:rsidRPr="00504775">
        <w:rPr>
          <w:rFonts w:ascii="Times New Roman" w:hAnsi="Times New Roman" w:hint="eastAsia"/>
          <w:sz w:val="24"/>
          <w:szCs w:val="24"/>
        </w:rPr>
        <w:t>托管人中国农业银行股份有限公司协商一致，</w:t>
      </w:r>
      <w:r w:rsidR="00D13CA6" w:rsidRPr="00504775">
        <w:rPr>
          <w:rFonts w:ascii="Times New Roman" w:hAnsi="Times New Roman" w:hint="eastAsia"/>
          <w:sz w:val="24"/>
          <w:szCs w:val="24"/>
        </w:rPr>
        <w:t>并报中国证监会备案，</w:t>
      </w:r>
      <w:r w:rsidR="00CF0384" w:rsidRPr="00504775">
        <w:rPr>
          <w:rFonts w:ascii="Times New Roman" w:hAnsi="Times New Roman" w:hint="eastAsia"/>
          <w:sz w:val="24"/>
          <w:szCs w:val="24"/>
        </w:rPr>
        <w:t>长盛基金管理有限公司</w:t>
      </w:r>
      <w:r w:rsidR="00D13CA6" w:rsidRPr="00504775">
        <w:rPr>
          <w:rFonts w:ascii="Times New Roman" w:hAnsi="Times New Roman" w:hint="eastAsia"/>
          <w:sz w:val="24"/>
          <w:szCs w:val="24"/>
        </w:rPr>
        <w:t>决定自</w:t>
      </w:r>
      <w:r w:rsidR="00D13CA6" w:rsidRPr="00504775">
        <w:rPr>
          <w:rFonts w:ascii="Times New Roman" w:hAnsi="Times New Roman" w:hint="eastAsia"/>
          <w:sz w:val="24"/>
          <w:szCs w:val="24"/>
        </w:rPr>
        <w:t>2020</w:t>
      </w:r>
      <w:r w:rsidR="00D13CA6" w:rsidRPr="00504775">
        <w:rPr>
          <w:rFonts w:ascii="Times New Roman" w:hAnsi="Times New Roman" w:hint="eastAsia"/>
          <w:sz w:val="24"/>
          <w:szCs w:val="24"/>
        </w:rPr>
        <w:t>年</w:t>
      </w:r>
      <w:r w:rsidR="005A6366">
        <w:rPr>
          <w:rFonts w:ascii="Times New Roman" w:hAnsi="Times New Roman" w:hint="eastAsia"/>
          <w:sz w:val="24"/>
          <w:szCs w:val="24"/>
        </w:rPr>
        <w:t>9</w:t>
      </w:r>
      <w:r w:rsidR="00D13CA6" w:rsidRPr="00504775">
        <w:rPr>
          <w:rFonts w:ascii="Times New Roman" w:hAnsi="Times New Roman" w:hint="eastAsia"/>
          <w:sz w:val="24"/>
          <w:szCs w:val="24"/>
        </w:rPr>
        <w:t>月</w:t>
      </w:r>
      <w:r w:rsidR="005A6366">
        <w:rPr>
          <w:rFonts w:ascii="Times New Roman" w:hAnsi="Times New Roman" w:hint="eastAsia"/>
          <w:sz w:val="24"/>
          <w:szCs w:val="24"/>
        </w:rPr>
        <w:t>14</w:t>
      </w:r>
      <w:r w:rsidR="00D13CA6" w:rsidRPr="00504775">
        <w:rPr>
          <w:rFonts w:ascii="Times New Roman" w:hAnsi="Times New Roman" w:hint="eastAsia"/>
          <w:sz w:val="24"/>
          <w:szCs w:val="24"/>
        </w:rPr>
        <w:t>日起，</w:t>
      </w:r>
      <w:r w:rsidR="00CF0384" w:rsidRPr="00504775">
        <w:rPr>
          <w:rFonts w:ascii="Times New Roman" w:hAnsi="Times New Roman" w:hint="eastAsia"/>
          <w:sz w:val="24"/>
          <w:szCs w:val="24"/>
        </w:rPr>
        <w:t>变更长盛动态精选证券投资基金（以下简称长盛动态精选）、</w:t>
      </w:r>
      <w:r w:rsidR="00DC6CD7" w:rsidRPr="00504775">
        <w:rPr>
          <w:rFonts w:ascii="Times New Roman" w:hAnsi="Times New Roman" w:hint="eastAsia"/>
          <w:sz w:val="24"/>
          <w:szCs w:val="24"/>
        </w:rPr>
        <w:t>长盛全债指数增强型债券投资基金（以下简称长盛全债）、</w:t>
      </w:r>
      <w:r w:rsidR="00CF0384" w:rsidRPr="00504775">
        <w:rPr>
          <w:rFonts w:ascii="Times New Roman" w:hAnsi="Times New Roman" w:hint="eastAsia"/>
          <w:sz w:val="24"/>
          <w:szCs w:val="24"/>
        </w:rPr>
        <w:t>长盛成长价值证券投资基金（以下简称长盛成长价值）三只基金的</w:t>
      </w:r>
      <w:r w:rsidR="00D13CA6" w:rsidRPr="00504775">
        <w:rPr>
          <w:rFonts w:ascii="Times New Roman" w:hAnsi="Times New Roman" w:hint="eastAsia"/>
          <w:sz w:val="24"/>
          <w:szCs w:val="24"/>
        </w:rPr>
        <w:t>业绩比较基准，并修改基金合同相应的条款，</w:t>
      </w:r>
      <w:bookmarkEnd w:id="0"/>
      <w:r w:rsidR="00D13CA6" w:rsidRPr="00504775">
        <w:rPr>
          <w:rFonts w:ascii="Times New Roman" w:hAnsi="Times New Roman" w:hint="eastAsia"/>
          <w:sz w:val="24"/>
          <w:szCs w:val="24"/>
        </w:rPr>
        <w:t>现将具体事项公告如下：</w:t>
      </w:r>
    </w:p>
    <w:p w:rsidR="00D13CA6" w:rsidRPr="00504775" w:rsidRDefault="00CF0384" w:rsidP="00A25083">
      <w:pPr>
        <w:spacing w:line="460" w:lineRule="exact"/>
        <w:ind w:firstLineChars="200" w:firstLine="480"/>
        <w:rPr>
          <w:rFonts w:ascii="Times New Roman" w:hAnsi="Times New Roman" w:hint="eastAsia"/>
          <w:sz w:val="24"/>
          <w:szCs w:val="24"/>
        </w:rPr>
      </w:pPr>
      <w:r w:rsidRPr="00504775">
        <w:rPr>
          <w:rFonts w:ascii="Times New Roman" w:hAnsi="Times New Roman" w:hint="eastAsia"/>
          <w:sz w:val="24"/>
          <w:szCs w:val="24"/>
        </w:rPr>
        <w:t>一、变更业绩比较基准的方案</w:t>
      </w:r>
    </w:p>
    <w:tbl>
      <w:tblPr>
        <w:tblW w:w="8885"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2"/>
        <w:gridCol w:w="3731"/>
        <w:gridCol w:w="3402"/>
      </w:tblGrid>
      <w:tr w:rsidR="00D13CA6" w:rsidRPr="00504775" w:rsidTr="00504775">
        <w:trPr>
          <w:trHeight w:val="381"/>
          <w:jc w:val="center"/>
        </w:trPr>
        <w:tc>
          <w:tcPr>
            <w:tcW w:w="1752" w:type="dxa"/>
            <w:shd w:val="clear" w:color="auto" w:fill="auto"/>
            <w:noWrap/>
            <w:vAlign w:val="center"/>
            <w:hideMark/>
          </w:tcPr>
          <w:p w:rsidR="00D13CA6" w:rsidRPr="00863501" w:rsidRDefault="00D13CA6" w:rsidP="00504775">
            <w:pPr>
              <w:widowControl/>
              <w:jc w:val="center"/>
              <w:rPr>
                <w:rFonts w:ascii="Times New Roman" w:eastAsia="仿宋" w:hAnsi="Times New Roman"/>
                <w:b/>
                <w:color w:val="000000"/>
                <w:sz w:val="24"/>
              </w:rPr>
            </w:pPr>
            <w:r w:rsidRPr="00863501">
              <w:rPr>
                <w:rFonts w:ascii="Times New Roman" w:eastAsia="仿宋" w:hAnsi="Times New Roman" w:hint="eastAsia"/>
                <w:b/>
                <w:color w:val="000000"/>
                <w:sz w:val="24"/>
              </w:rPr>
              <w:t>基金</w:t>
            </w:r>
          </w:p>
        </w:tc>
        <w:tc>
          <w:tcPr>
            <w:tcW w:w="3731" w:type="dxa"/>
            <w:shd w:val="clear" w:color="auto" w:fill="auto"/>
            <w:noWrap/>
            <w:vAlign w:val="center"/>
            <w:hideMark/>
          </w:tcPr>
          <w:p w:rsidR="00D13CA6" w:rsidRPr="00863501" w:rsidRDefault="00DC6CD7" w:rsidP="00504775">
            <w:pPr>
              <w:widowControl/>
              <w:jc w:val="center"/>
              <w:rPr>
                <w:rFonts w:ascii="Times New Roman" w:eastAsia="仿宋" w:hAnsi="Times New Roman"/>
                <w:b/>
                <w:color w:val="000000"/>
                <w:sz w:val="24"/>
              </w:rPr>
            </w:pPr>
            <w:r w:rsidRPr="00863501">
              <w:rPr>
                <w:rFonts w:ascii="Times New Roman" w:eastAsia="仿宋" w:hAnsi="Times New Roman" w:hint="eastAsia"/>
                <w:b/>
                <w:color w:val="000000"/>
                <w:sz w:val="24"/>
              </w:rPr>
              <w:t>目前</w:t>
            </w:r>
            <w:r w:rsidR="00D13CA6" w:rsidRPr="00863501">
              <w:rPr>
                <w:rFonts w:ascii="Times New Roman" w:eastAsia="仿宋" w:hAnsi="Times New Roman" w:hint="eastAsia"/>
                <w:b/>
                <w:color w:val="000000"/>
                <w:sz w:val="24"/>
              </w:rPr>
              <w:t>业绩比较基准</w:t>
            </w:r>
          </w:p>
        </w:tc>
        <w:tc>
          <w:tcPr>
            <w:tcW w:w="3402" w:type="dxa"/>
            <w:shd w:val="clear" w:color="auto" w:fill="auto"/>
            <w:vAlign w:val="center"/>
          </w:tcPr>
          <w:p w:rsidR="00D13CA6" w:rsidRPr="00863501" w:rsidRDefault="00DC6CD7" w:rsidP="00504775">
            <w:pPr>
              <w:widowControl/>
              <w:jc w:val="center"/>
              <w:rPr>
                <w:rFonts w:ascii="Times New Roman" w:eastAsia="仿宋" w:hAnsi="Times New Roman" w:hint="eastAsia"/>
                <w:b/>
                <w:color w:val="000000"/>
                <w:sz w:val="24"/>
              </w:rPr>
            </w:pPr>
            <w:r w:rsidRPr="00863501">
              <w:rPr>
                <w:rFonts w:ascii="Times New Roman" w:eastAsia="仿宋" w:hAnsi="Times New Roman" w:hint="eastAsia"/>
                <w:b/>
                <w:color w:val="000000"/>
                <w:sz w:val="24"/>
              </w:rPr>
              <w:t>变更</w:t>
            </w:r>
            <w:r w:rsidR="00D13CA6" w:rsidRPr="00863501">
              <w:rPr>
                <w:rFonts w:ascii="Times New Roman" w:eastAsia="仿宋" w:hAnsi="Times New Roman" w:hint="eastAsia"/>
                <w:b/>
                <w:color w:val="000000"/>
                <w:sz w:val="24"/>
              </w:rPr>
              <w:t>后的业绩比较基准</w:t>
            </w:r>
          </w:p>
        </w:tc>
      </w:tr>
      <w:tr w:rsidR="00D13CA6" w:rsidRPr="00504775" w:rsidTr="00504775">
        <w:trPr>
          <w:trHeight w:val="381"/>
          <w:jc w:val="center"/>
        </w:trPr>
        <w:tc>
          <w:tcPr>
            <w:tcW w:w="1752" w:type="dxa"/>
            <w:shd w:val="clear" w:color="auto" w:fill="auto"/>
            <w:noWrap/>
            <w:vAlign w:val="center"/>
            <w:hideMark/>
          </w:tcPr>
          <w:p w:rsidR="00D13CA6" w:rsidRPr="00504775" w:rsidRDefault="00D13CA6" w:rsidP="00504775">
            <w:pPr>
              <w:widowControl/>
              <w:jc w:val="center"/>
              <w:rPr>
                <w:rFonts w:ascii="Times New Roman" w:eastAsia="仿宋" w:hAnsi="Times New Roman"/>
                <w:sz w:val="24"/>
              </w:rPr>
            </w:pPr>
            <w:r w:rsidRPr="00504775">
              <w:rPr>
                <w:rFonts w:ascii="Times New Roman" w:eastAsia="仿宋" w:hAnsi="Times New Roman" w:hint="eastAsia"/>
                <w:sz w:val="24"/>
              </w:rPr>
              <w:t>长盛动态精选</w:t>
            </w:r>
          </w:p>
        </w:tc>
        <w:tc>
          <w:tcPr>
            <w:tcW w:w="3731" w:type="dxa"/>
            <w:shd w:val="clear" w:color="auto" w:fill="auto"/>
            <w:noWrap/>
            <w:vAlign w:val="bottom"/>
            <w:hideMark/>
          </w:tcPr>
          <w:p w:rsidR="00D13CA6" w:rsidRPr="00000521" w:rsidRDefault="00D13CA6" w:rsidP="00D13CA6">
            <w:pPr>
              <w:widowControl/>
              <w:jc w:val="center"/>
              <w:rPr>
                <w:rFonts w:ascii="Times New Roman" w:eastAsia="仿宋" w:hAnsi="Times New Roman"/>
                <w:bCs/>
                <w:sz w:val="24"/>
              </w:rPr>
            </w:pPr>
            <w:r w:rsidRPr="00000521">
              <w:rPr>
                <w:rFonts w:ascii="Times New Roman" w:eastAsia="仿宋" w:hAnsi="Times New Roman"/>
                <w:bCs/>
                <w:sz w:val="24"/>
              </w:rPr>
              <w:t>标普中国</w:t>
            </w:r>
            <w:r w:rsidRPr="00000521">
              <w:rPr>
                <w:rFonts w:ascii="Times New Roman" w:eastAsia="仿宋" w:hAnsi="Times New Roman"/>
                <w:bCs/>
                <w:sz w:val="24"/>
              </w:rPr>
              <w:t>A</w:t>
            </w:r>
            <w:r w:rsidRPr="00000521">
              <w:rPr>
                <w:rFonts w:ascii="Times New Roman" w:eastAsia="仿宋" w:hAnsi="Times New Roman"/>
                <w:bCs/>
                <w:sz w:val="24"/>
              </w:rPr>
              <w:t>股综合指数收益率</w:t>
            </w:r>
            <w:r w:rsidRPr="00000521">
              <w:rPr>
                <w:rFonts w:ascii="Times New Roman" w:eastAsia="仿宋" w:hAnsi="Times New Roman"/>
                <w:bCs/>
                <w:sz w:val="24"/>
              </w:rPr>
              <w:t>*95%+</w:t>
            </w:r>
            <w:r w:rsidRPr="00000521">
              <w:rPr>
                <w:rFonts w:ascii="Times New Roman" w:eastAsia="仿宋" w:hAnsi="Times New Roman"/>
                <w:bCs/>
                <w:sz w:val="24"/>
              </w:rPr>
              <w:t>金融同业存款利率</w:t>
            </w:r>
            <w:r w:rsidRPr="00000521">
              <w:rPr>
                <w:rFonts w:ascii="Times New Roman" w:eastAsia="仿宋" w:hAnsi="Times New Roman"/>
                <w:bCs/>
                <w:sz w:val="24"/>
              </w:rPr>
              <w:t>*5%</w:t>
            </w:r>
          </w:p>
        </w:tc>
        <w:tc>
          <w:tcPr>
            <w:tcW w:w="3402" w:type="dxa"/>
            <w:vAlign w:val="bottom"/>
          </w:tcPr>
          <w:p w:rsidR="00D13CA6" w:rsidRPr="00504775" w:rsidRDefault="00D13CA6" w:rsidP="00D13CA6">
            <w:pPr>
              <w:widowControl/>
              <w:jc w:val="center"/>
              <w:rPr>
                <w:rFonts w:ascii="Times New Roman" w:eastAsia="仿宋" w:hAnsi="Times New Roman"/>
                <w:sz w:val="24"/>
              </w:rPr>
            </w:pPr>
            <w:r w:rsidRPr="00504775">
              <w:rPr>
                <w:rFonts w:ascii="Times New Roman" w:eastAsia="仿宋" w:hAnsi="Times New Roman" w:hint="eastAsia"/>
                <w:sz w:val="24"/>
              </w:rPr>
              <w:t>沪深</w:t>
            </w:r>
            <w:r w:rsidRPr="00504775">
              <w:rPr>
                <w:rFonts w:ascii="Times New Roman" w:eastAsia="仿宋" w:hAnsi="Times New Roman" w:hint="eastAsia"/>
                <w:sz w:val="24"/>
              </w:rPr>
              <w:t>3</w:t>
            </w:r>
            <w:r w:rsidRPr="00504775">
              <w:rPr>
                <w:rFonts w:ascii="Times New Roman" w:eastAsia="仿宋" w:hAnsi="Times New Roman"/>
                <w:sz w:val="24"/>
              </w:rPr>
              <w:t>00</w:t>
            </w:r>
            <w:r w:rsidRPr="00504775">
              <w:rPr>
                <w:rFonts w:ascii="Times New Roman" w:eastAsia="仿宋" w:hAnsi="Times New Roman"/>
                <w:sz w:val="24"/>
              </w:rPr>
              <w:t>指数收益率</w:t>
            </w:r>
            <w:r w:rsidRPr="00504775">
              <w:rPr>
                <w:rFonts w:ascii="Times New Roman" w:eastAsia="仿宋" w:hAnsi="Times New Roman"/>
                <w:sz w:val="24"/>
              </w:rPr>
              <w:t>*95%+</w:t>
            </w:r>
            <w:r w:rsidRPr="00504775">
              <w:rPr>
                <w:rFonts w:ascii="Times New Roman" w:eastAsia="仿宋" w:hAnsi="Times New Roman"/>
                <w:sz w:val="24"/>
              </w:rPr>
              <w:t>金融同业存款利率</w:t>
            </w:r>
            <w:r w:rsidRPr="00504775">
              <w:rPr>
                <w:rFonts w:ascii="Times New Roman" w:eastAsia="仿宋" w:hAnsi="Times New Roman"/>
                <w:sz w:val="24"/>
              </w:rPr>
              <w:t>*5%</w:t>
            </w:r>
          </w:p>
        </w:tc>
      </w:tr>
      <w:tr w:rsidR="00D13CA6" w:rsidRPr="00504775" w:rsidTr="00504775">
        <w:trPr>
          <w:trHeight w:val="381"/>
          <w:jc w:val="center"/>
        </w:trPr>
        <w:tc>
          <w:tcPr>
            <w:tcW w:w="1752" w:type="dxa"/>
            <w:shd w:val="clear" w:color="auto" w:fill="auto"/>
            <w:noWrap/>
            <w:vAlign w:val="center"/>
            <w:hideMark/>
          </w:tcPr>
          <w:p w:rsidR="00D13CA6" w:rsidRPr="00504775" w:rsidRDefault="00D13CA6" w:rsidP="00504775">
            <w:pPr>
              <w:widowControl/>
              <w:jc w:val="center"/>
              <w:rPr>
                <w:rFonts w:ascii="Times New Roman" w:eastAsia="仿宋" w:hAnsi="Times New Roman"/>
                <w:sz w:val="24"/>
              </w:rPr>
            </w:pPr>
            <w:r w:rsidRPr="00504775">
              <w:rPr>
                <w:rFonts w:ascii="Times New Roman" w:eastAsia="仿宋" w:hAnsi="Times New Roman" w:hint="eastAsia"/>
                <w:sz w:val="24"/>
              </w:rPr>
              <w:t>长盛全债</w:t>
            </w:r>
          </w:p>
        </w:tc>
        <w:tc>
          <w:tcPr>
            <w:tcW w:w="3731" w:type="dxa"/>
            <w:shd w:val="clear" w:color="auto" w:fill="auto"/>
            <w:noWrap/>
            <w:vAlign w:val="bottom"/>
            <w:hideMark/>
          </w:tcPr>
          <w:p w:rsidR="00D13CA6" w:rsidRPr="00000521" w:rsidRDefault="00D13CA6" w:rsidP="00D13CA6">
            <w:pPr>
              <w:widowControl/>
              <w:jc w:val="center"/>
              <w:rPr>
                <w:rFonts w:ascii="Times New Roman" w:eastAsia="仿宋" w:hAnsi="Times New Roman"/>
                <w:bCs/>
                <w:sz w:val="24"/>
              </w:rPr>
            </w:pPr>
            <w:r w:rsidRPr="00000521">
              <w:rPr>
                <w:rFonts w:ascii="Times New Roman" w:eastAsia="仿宋" w:hAnsi="Times New Roman"/>
                <w:bCs/>
                <w:sz w:val="24"/>
              </w:rPr>
              <w:t>标普中国全债指数收益率</w:t>
            </w:r>
            <w:r w:rsidRPr="00000521">
              <w:rPr>
                <w:rFonts w:ascii="Times New Roman" w:eastAsia="仿宋" w:hAnsi="Times New Roman"/>
                <w:bCs/>
                <w:sz w:val="24"/>
              </w:rPr>
              <w:t>*92%+</w:t>
            </w:r>
            <w:r w:rsidRPr="00000521">
              <w:rPr>
                <w:rFonts w:ascii="Times New Roman" w:eastAsia="仿宋" w:hAnsi="Times New Roman"/>
                <w:bCs/>
                <w:sz w:val="24"/>
              </w:rPr>
              <w:t>标普中国</w:t>
            </w:r>
            <w:r w:rsidRPr="00000521">
              <w:rPr>
                <w:rFonts w:ascii="Times New Roman" w:eastAsia="仿宋" w:hAnsi="Times New Roman"/>
                <w:bCs/>
                <w:sz w:val="24"/>
              </w:rPr>
              <w:t>A</w:t>
            </w:r>
            <w:r w:rsidRPr="00000521">
              <w:rPr>
                <w:rFonts w:ascii="Times New Roman" w:eastAsia="仿宋" w:hAnsi="Times New Roman"/>
                <w:bCs/>
                <w:sz w:val="24"/>
              </w:rPr>
              <w:t>股综合指数收益率</w:t>
            </w:r>
            <w:r w:rsidRPr="00000521">
              <w:rPr>
                <w:rFonts w:ascii="Times New Roman" w:eastAsia="仿宋" w:hAnsi="Times New Roman"/>
                <w:bCs/>
                <w:sz w:val="24"/>
              </w:rPr>
              <w:t>*8%</w:t>
            </w:r>
          </w:p>
        </w:tc>
        <w:tc>
          <w:tcPr>
            <w:tcW w:w="3402" w:type="dxa"/>
            <w:vAlign w:val="bottom"/>
          </w:tcPr>
          <w:p w:rsidR="00D13CA6" w:rsidRPr="00504775" w:rsidRDefault="00D13CA6" w:rsidP="00D13CA6">
            <w:pPr>
              <w:widowControl/>
              <w:jc w:val="center"/>
              <w:rPr>
                <w:rFonts w:ascii="Times New Roman" w:eastAsia="仿宋" w:hAnsi="Times New Roman"/>
                <w:sz w:val="24"/>
              </w:rPr>
            </w:pPr>
            <w:bookmarkStart w:id="1" w:name="_Hlk50618956"/>
            <w:r w:rsidRPr="00504775">
              <w:rPr>
                <w:rFonts w:ascii="Times New Roman" w:eastAsia="仿宋" w:hAnsi="Times New Roman"/>
                <w:sz w:val="24"/>
              </w:rPr>
              <w:t>标普中国全债指数收益率</w:t>
            </w:r>
            <w:r w:rsidRPr="00504775">
              <w:rPr>
                <w:rFonts w:ascii="Times New Roman" w:eastAsia="仿宋" w:hAnsi="Times New Roman"/>
                <w:sz w:val="24"/>
              </w:rPr>
              <w:t>*92%+</w:t>
            </w:r>
            <w:r w:rsidRPr="00504775">
              <w:rPr>
                <w:rFonts w:ascii="Times New Roman" w:eastAsia="仿宋" w:hAnsi="Times New Roman" w:hint="eastAsia"/>
                <w:sz w:val="24"/>
              </w:rPr>
              <w:t>沪深</w:t>
            </w:r>
            <w:r w:rsidRPr="00504775">
              <w:rPr>
                <w:rFonts w:ascii="Times New Roman" w:eastAsia="仿宋" w:hAnsi="Times New Roman" w:hint="eastAsia"/>
                <w:sz w:val="24"/>
              </w:rPr>
              <w:t>3</w:t>
            </w:r>
            <w:r w:rsidRPr="00504775">
              <w:rPr>
                <w:rFonts w:ascii="Times New Roman" w:eastAsia="仿宋" w:hAnsi="Times New Roman"/>
                <w:sz w:val="24"/>
              </w:rPr>
              <w:t>00</w:t>
            </w:r>
            <w:r w:rsidRPr="00504775">
              <w:rPr>
                <w:rFonts w:ascii="Times New Roman" w:eastAsia="仿宋" w:hAnsi="Times New Roman"/>
                <w:sz w:val="24"/>
              </w:rPr>
              <w:t>指数收益率</w:t>
            </w:r>
            <w:r w:rsidRPr="00504775">
              <w:rPr>
                <w:rFonts w:ascii="Times New Roman" w:eastAsia="仿宋" w:hAnsi="Times New Roman"/>
                <w:sz w:val="24"/>
              </w:rPr>
              <w:t>*8%</w:t>
            </w:r>
            <w:bookmarkEnd w:id="1"/>
          </w:p>
        </w:tc>
      </w:tr>
      <w:tr w:rsidR="00D13CA6" w:rsidRPr="00504775" w:rsidTr="00504775">
        <w:trPr>
          <w:trHeight w:val="381"/>
          <w:jc w:val="center"/>
        </w:trPr>
        <w:tc>
          <w:tcPr>
            <w:tcW w:w="1752" w:type="dxa"/>
            <w:shd w:val="clear" w:color="auto" w:fill="auto"/>
            <w:noWrap/>
            <w:vAlign w:val="center"/>
          </w:tcPr>
          <w:p w:rsidR="00D13CA6" w:rsidRPr="00504775" w:rsidRDefault="00D13CA6" w:rsidP="00504775">
            <w:pPr>
              <w:widowControl/>
              <w:jc w:val="center"/>
              <w:rPr>
                <w:rFonts w:ascii="Times New Roman" w:eastAsia="仿宋" w:hAnsi="Times New Roman" w:hint="eastAsia"/>
                <w:sz w:val="24"/>
              </w:rPr>
            </w:pPr>
            <w:r w:rsidRPr="00504775">
              <w:rPr>
                <w:rFonts w:ascii="Times New Roman" w:eastAsia="仿宋" w:hAnsi="Times New Roman" w:hint="eastAsia"/>
                <w:sz w:val="24"/>
              </w:rPr>
              <w:t>长盛成长价值</w:t>
            </w:r>
          </w:p>
        </w:tc>
        <w:tc>
          <w:tcPr>
            <w:tcW w:w="3731" w:type="dxa"/>
            <w:shd w:val="clear" w:color="auto" w:fill="auto"/>
            <w:noWrap/>
            <w:vAlign w:val="bottom"/>
          </w:tcPr>
          <w:p w:rsidR="00D13CA6" w:rsidRPr="00000521" w:rsidRDefault="00D13CA6" w:rsidP="00D13CA6">
            <w:pPr>
              <w:widowControl/>
              <w:jc w:val="center"/>
              <w:rPr>
                <w:rFonts w:ascii="Times New Roman" w:eastAsia="仿宋" w:hAnsi="Times New Roman"/>
                <w:bCs/>
                <w:sz w:val="24"/>
              </w:rPr>
            </w:pPr>
            <w:r w:rsidRPr="00000521">
              <w:rPr>
                <w:rFonts w:ascii="Times New Roman" w:eastAsia="仿宋" w:hAnsi="Times New Roman"/>
                <w:bCs/>
                <w:sz w:val="24"/>
              </w:rPr>
              <w:t>标普中国</w:t>
            </w:r>
            <w:r w:rsidRPr="00000521">
              <w:rPr>
                <w:rFonts w:ascii="Times New Roman" w:eastAsia="仿宋" w:hAnsi="Times New Roman"/>
                <w:bCs/>
                <w:sz w:val="24"/>
              </w:rPr>
              <w:t>A</w:t>
            </w:r>
            <w:r w:rsidRPr="00000521">
              <w:rPr>
                <w:rFonts w:ascii="Times New Roman" w:eastAsia="仿宋" w:hAnsi="Times New Roman"/>
                <w:bCs/>
                <w:sz w:val="24"/>
              </w:rPr>
              <w:t>股综合指数收益率</w:t>
            </w:r>
            <w:r w:rsidRPr="00000521">
              <w:rPr>
                <w:rFonts w:ascii="Times New Roman" w:eastAsia="仿宋" w:hAnsi="Times New Roman"/>
                <w:bCs/>
                <w:sz w:val="24"/>
              </w:rPr>
              <w:t>*80%+</w:t>
            </w:r>
            <w:r w:rsidRPr="00000521">
              <w:rPr>
                <w:rFonts w:ascii="Times New Roman" w:eastAsia="仿宋" w:hAnsi="Times New Roman"/>
                <w:bCs/>
                <w:sz w:val="24"/>
              </w:rPr>
              <w:t>中证国债指数收益率</w:t>
            </w:r>
            <w:r w:rsidRPr="00000521">
              <w:rPr>
                <w:rFonts w:ascii="Times New Roman" w:eastAsia="仿宋" w:hAnsi="Times New Roman"/>
                <w:bCs/>
                <w:sz w:val="24"/>
              </w:rPr>
              <w:t>*20%</w:t>
            </w:r>
          </w:p>
        </w:tc>
        <w:tc>
          <w:tcPr>
            <w:tcW w:w="3402" w:type="dxa"/>
            <w:vAlign w:val="bottom"/>
          </w:tcPr>
          <w:p w:rsidR="00D13CA6" w:rsidRPr="00504775" w:rsidRDefault="00D13CA6" w:rsidP="00D13CA6">
            <w:pPr>
              <w:widowControl/>
              <w:jc w:val="center"/>
              <w:rPr>
                <w:rFonts w:ascii="Times New Roman" w:eastAsia="仿宋" w:hAnsi="Times New Roman" w:hint="eastAsia"/>
                <w:sz w:val="24"/>
              </w:rPr>
            </w:pPr>
            <w:r w:rsidRPr="00504775">
              <w:rPr>
                <w:rFonts w:ascii="Times New Roman" w:eastAsia="仿宋" w:hAnsi="Times New Roman" w:hint="eastAsia"/>
                <w:sz w:val="24"/>
              </w:rPr>
              <w:t>中证</w:t>
            </w:r>
            <w:r w:rsidRPr="00504775">
              <w:rPr>
                <w:rFonts w:ascii="Times New Roman" w:eastAsia="仿宋" w:hAnsi="Times New Roman" w:hint="eastAsia"/>
                <w:sz w:val="24"/>
              </w:rPr>
              <w:t>8</w:t>
            </w:r>
            <w:r w:rsidRPr="00504775">
              <w:rPr>
                <w:rFonts w:ascii="Times New Roman" w:eastAsia="仿宋" w:hAnsi="Times New Roman"/>
                <w:sz w:val="24"/>
              </w:rPr>
              <w:t>00</w:t>
            </w:r>
            <w:r w:rsidRPr="00504775">
              <w:rPr>
                <w:rFonts w:ascii="Times New Roman" w:eastAsia="仿宋" w:hAnsi="Times New Roman"/>
                <w:sz w:val="24"/>
              </w:rPr>
              <w:t>指数收益率</w:t>
            </w:r>
            <w:r w:rsidRPr="00504775">
              <w:rPr>
                <w:rFonts w:ascii="Times New Roman" w:eastAsia="仿宋" w:hAnsi="Times New Roman"/>
                <w:sz w:val="24"/>
              </w:rPr>
              <w:t>*75%+</w:t>
            </w:r>
            <w:r w:rsidRPr="00504775">
              <w:rPr>
                <w:rFonts w:ascii="Times New Roman" w:eastAsia="仿宋" w:hAnsi="Times New Roman"/>
                <w:sz w:val="24"/>
              </w:rPr>
              <w:t>中证国债指数收益率</w:t>
            </w:r>
            <w:r w:rsidRPr="00504775">
              <w:rPr>
                <w:rFonts w:ascii="Times New Roman" w:eastAsia="仿宋" w:hAnsi="Times New Roman"/>
                <w:sz w:val="24"/>
              </w:rPr>
              <w:t>*2</w:t>
            </w:r>
            <w:r w:rsidR="00AC112A">
              <w:rPr>
                <w:rFonts w:ascii="Times New Roman" w:eastAsia="仿宋" w:hAnsi="Times New Roman" w:hint="eastAsia"/>
                <w:sz w:val="24"/>
              </w:rPr>
              <w:t>5</w:t>
            </w:r>
            <w:r w:rsidRPr="00504775">
              <w:rPr>
                <w:rFonts w:ascii="Times New Roman" w:eastAsia="仿宋" w:hAnsi="Times New Roman"/>
                <w:sz w:val="24"/>
              </w:rPr>
              <w:t>%</w:t>
            </w:r>
          </w:p>
        </w:tc>
      </w:tr>
    </w:tbl>
    <w:p w:rsidR="00B11764" w:rsidRPr="00504775" w:rsidRDefault="00B11764" w:rsidP="00A25083">
      <w:pPr>
        <w:spacing w:line="460" w:lineRule="exact"/>
        <w:ind w:firstLineChars="200" w:firstLine="480"/>
        <w:rPr>
          <w:rFonts w:ascii="Times New Roman" w:hAnsi="Times New Roman"/>
          <w:sz w:val="24"/>
          <w:szCs w:val="24"/>
        </w:rPr>
      </w:pPr>
    </w:p>
    <w:p w:rsidR="00B11764" w:rsidRPr="00504775" w:rsidRDefault="00687738" w:rsidP="00A25083">
      <w:pPr>
        <w:spacing w:line="460" w:lineRule="exact"/>
        <w:ind w:firstLineChars="200" w:firstLine="480"/>
        <w:rPr>
          <w:rFonts w:ascii="Times New Roman" w:hAnsi="Times New Roman"/>
          <w:sz w:val="24"/>
          <w:szCs w:val="24"/>
        </w:rPr>
      </w:pPr>
      <w:r w:rsidRPr="00504775">
        <w:rPr>
          <w:rFonts w:ascii="Times New Roman" w:hAnsi="Times New Roman" w:hint="eastAsia"/>
          <w:sz w:val="24"/>
          <w:szCs w:val="24"/>
        </w:rPr>
        <w:t>二、基金合同的修订</w:t>
      </w:r>
    </w:p>
    <w:p w:rsidR="00B11764" w:rsidRPr="00504775" w:rsidRDefault="00687738" w:rsidP="00A25083">
      <w:pPr>
        <w:spacing w:line="460" w:lineRule="exact"/>
        <w:ind w:firstLineChars="200" w:firstLine="480"/>
        <w:rPr>
          <w:rFonts w:ascii="Times New Roman" w:hAnsi="Times New Roman" w:hint="eastAsia"/>
          <w:sz w:val="24"/>
          <w:szCs w:val="24"/>
        </w:rPr>
      </w:pPr>
      <w:r w:rsidRPr="00504775">
        <w:rPr>
          <w:rFonts w:ascii="Times New Roman" w:hAnsi="Times New Roman" w:hint="eastAsia"/>
          <w:sz w:val="24"/>
          <w:szCs w:val="24"/>
        </w:rPr>
        <w:t>根据上述业绩比较基准的变更方案，对《长盛动态精选证券投资基金基金合同》《长盛全债指数增强型债券投资基金基金合同》《长盛成长价值证券投资基金》“基金的投资管理”章节进行必要修订。</w:t>
      </w:r>
    </w:p>
    <w:p w:rsidR="00B56454" w:rsidRPr="00504775" w:rsidRDefault="00922890" w:rsidP="00A25083">
      <w:pPr>
        <w:spacing w:line="460" w:lineRule="exact"/>
        <w:ind w:firstLineChars="200" w:firstLine="480"/>
        <w:rPr>
          <w:rFonts w:ascii="Times New Roman" w:hAnsi="Times New Roman"/>
          <w:bCs/>
          <w:kern w:val="0"/>
          <w:sz w:val="24"/>
        </w:rPr>
      </w:pPr>
      <w:r w:rsidRPr="00504775">
        <w:rPr>
          <w:rFonts w:ascii="Times New Roman" w:hAnsi="Times New Roman" w:hint="eastAsia"/>
          <w:sz w:val="24"/>
          <w:szCs w:val="24"/>
        </w:rPr>
        <w:t>基金管理人将在更新</w:t>
      </w:r>
      <w:r w:rsidR="005A6366">
        <w:rPr>
          <w:rFonts w:ascii="Times New Roman" w:hAnsi="Times New Roman" w:hint="eastAsia"/>
          <w:sz w:val="24"/>
          <w:szCs w:val="24"/>
        </w:rPr>
        <w:t>的</w:t>
      </w:r>
      <w:r w:rsidRPr="00504775">
        <w:rPr>
          <w:rFonts w:ascii="Times New Roman" w:hAnsi="Times New Roman" w:hint="eastAsia"/>
          <w:sz w:val="24"/>
          <w:szCs w:val="24"/>
        </w:rPr>
        <w:t>招募说明书</w:t>
      </w:r>
      <w:r w:rsidR="005A6366">
        <w:rPr>
          <w:rFonts w:ascii="Times New Roman" w:hAnsi="Times New Roman" w:hint="eastAsia"/>
          <w:sz w:val="24"/>
          <w:szCs w:val="24"/>
        </w:rPr>
        <w:t>和</w:t>
      </w:r>
      <w:r w:rsidR="005A6366" w:rsidRPr="005A6366">
        <w:rPr>
          <w:rFonts w:ascii="Times New Roman" w:hAnsi="Times New Roman" w:hint="eastAsia"/>
          <w:sz w:val="24"/>
          <w:szCs w:val="24"/>
        </w:rPr>
        <w:t>基金产品资料概要</w:t>
      </w:r>
      <w:r w:rsidRPr="00504775">
        <w:rPr>
          <w:rFonts w:ascii="Times New Roman" w:hAnsi="Times New Roman" w:hint="eastAsia"/>
          <w:sz w:val="24"/>
          <w:szCs w:val="24"/>
        </w:rPr>
        <w:t>对相应内容进行及时更新</w:t>
      </w:r>
      <w:r w:rsidRPr="00504775">
        <w:rPr>
          <w:rFonts w:ascii="Times New Roman" w:hAnsi="Times New Roman"/>
          <w:sz w:val="24"/>
          <w:szCs w:val="24"/>
        </w:rPr>
        <w:t>。</w:t>
      </w:r>
    </w:p>
    <w:p w:rsidR="00687738" w:rsidRPr="00504775" w:rsidRDefault="00687738" w:rsidP="00A25083">
      <w:pPr>
        <w:spacing w:line="460" w:lineRule="exact"/>
        <w:ind w:firstLineChars="200" w:firstLine="480"/>
        <w:rPr>
          <w:rFonts w:ascii="Times New Roman" w:hAnsi="Times New Roman"/>
          <w:bCs/>
          <w:kern w:val="0"/>
          <w:sz w:val="24"/>
        </w:rPr>
      </w:pPr>
      <w:r w:rsidRPr="00504775">
        <w:rPr>
          <w:rFonts w:ascii="Times New Roman" w:hAnsi="Times New Roman" w:hint="eastAsia"/>
          <w:bCs/>
          <w:kern w:val="0"/>
          <w:sz w:val="24"/>
        </w:rPr>
        <w:t>三、其他事项</w:t>
      </w:r>
    </w:p>
    <w:p w:rsidR="00ED762E" w:rsidRPr="00504775" w:rsidRDefault="00687738" w:rsidP="00A25083">
      <w:pPr>
        <w:spacing w:line="460" w:lineRule="exact"/>
        <w:ind w:firstLineChars="200" w:firstLine="480"/>
        <w:rPr>
          <w:rFonts w:ascii="Times New Roman" w:hAnsi="Times New Roman" w:hint="eastAsia"/>
          <w:sz w:val="24"/>
          <w:szCs w:val="24"/>
        </w:rPr>
      </w:pPr>
      <w:r w:rsidRPr="00504775">
        <w:rPr>
          <w:rFonts w:ascii="Times New Roman" w:hAnsi="Times New Roman" w:hint="eastAsia"/>
          <w:bCs/>
          <w:kern w:val="0"/>
          <w:sz w:val="24"/>
        </w:rPr>
        <w:t>上述</w:t>
      </w:r>
      <w:r w:rsidR="00922890" w:rsidRPr="00504775">
        <w:rPr>
          <w:rFonts w:ascii="Times New Roman" w:hAnsi="Times New Roman" w:hint="eastAsia"/>
          <w:bCs/>
          <w:kern w:val="0"/>
          <w:sz w:val="24"/>
        </w:rPr>
        <w:t>基金变更业绩比较基准</w:t>
      </w:r>
      <w:r w:rsidR="00FB0D4E" w:rsidRPr="00504775">
        <w:rPr>
          <w:rFonts w:ascii="Times New Roman" w:hAnsi="Times New Roman" w:hint="eastAsia"/>
          <w:bCs/>
          <w:kern w:val="0"/>
          <w:sz w:val="24"/>
        </w:rPr>
        <w:t>并相应修改基金合同的事项</w:t>
      </w:r>
      <w:r w:rsidR="00922890" w:rsidRPr="00504775">
        <w:rPr>
          <w:rFonts w:ascii="Times New Roman" w:hAnsi="Times New Roman" w:hint="eastAsia"/>
          <w:bCs/>
          <w:kern w:val="0"/>
          <w:sz w:val="24"/>
        </w:rPr>
        <w:t>对基金</w:t>
      </w:r>
      <w:r w:rsidR="00FB0D4E" w:rsidRPr="00504775">
        <w:rPr>
          <w:rFonts w:ascii="Times New Roman" w:hAnsi="Times New Roman" w:hint="eastAsia"/>
          <w:bCs/>
          <w:kern w:val="0"/>
          <w:sz w:val="24"/>
        </w:rPr>
        <w:t>份额</w:t>
      </w:r>
      <w:r w:rsidR="00922890" w:rsidRPr="00504775">
        <w:rPr>
          <w:rFonts w:ascii="Times New Roman" w:hAnsi="Times New Roman" w:hint="eastAsia"/>
          <w:bCs/>
          <w:kern w:val="0"/>
          <w:sz w:val="24"/>
        </w:rPr>
        <w:t>持有人利益无实质性不利影响，且不涉及基金合同当事人权利义务关系发生变化，</w:t>
      </w:r>
      <w:r w:rsidR="00FB0D4E" w:rsidRPr="00504775">
        <w:rPr>
          <w:rFonts w:ascii="Times New Roman" w:hAnsi="Times New Roman" w:hint="eastAsia"/>
          <w:bCs/>
          <w:kern w:val="0"/>
          <w:sz w:val="24"/>
        </w:rPr>
        <w:t>依据</w:t>
      </w:r>
      <w:r w:rsidR="00FB0D4E" w:rsidRPr="00504775">
        <w:rPr>
          <w:rFonts w:ascii="Times New Roman" w:hAnsi="Times New Roman" w:hint="eastAsia"/>
          <w:bCs/>
          <w:kern w:val="0"/>
          <w:sz w:val="24"/>
        </w:rPr>
        <w:lastRenderedPageBreak/>
        <w:t>相关法律法规规定和基金合同的相关约定，</w:t>
      </w:r>
      <w:r w:rsidR="00922890" w:rsidRPr="00504775">
        <w:rPr>
          <w:rFonts w:ascii="Times New Roman" w:hAnsi="Times New Roman" w:hint="eastAsia"/>
          <w:bCs/>
          <w:kern w:val="0"/>
          <w:sz w:val="24"/>
        </w:rPr>
        <w:t>不需要召开</w:t>
      </w:r>
      <w:r w:rsidR="00FB0D4E" w:rsidRPr="00504775">
        <w:rPr>
          <w:rFonts w:ascii="Times New Roman" w:hAnsi="Times New Roman" w:hint="eastAsia"/>
          <w:bCs/>
          <w:kern w:val="0"/>
          <w:sz w:val="24"/>
        </w:rPr>
        <w:t>基金份额</w:t>
      </w:r>
      <w:r w:rsidR="00922890" w:rsidRPr="00504775">
        <w:rPr>
          <w:rFonts w:ascii="Times New Roman" w:hAnsi="Times New Roman" w:hint="eastAsia"/>
          <w:bCs/>
          <w:kern w:val="0"/>
          <w:sz w:val="24"/>
        </w:rPr>
        <w:t>持有人大会</w:t>
      </w:r>
      <w:r w:rsidR="00FB0D4E" w:rsidRPr="00504775">
        <w:rPr>
          <w:rFonts w:ascii="Times New Roman" w:hAnsi="Times New Roman" w:hint="eastAsia"/>
          <w:bCs/>
          <w:kern w:val="0"/>
          <w:sz w:val="24"/>
        </w:rPr>
        <w:t>审议</w:t>
      </w:r>
      <w:r w:rsidR="00922890" w:rsidRPr="00504775">
        <w:rPr>
          <w:rFonts w:ascii="Times New Roman" w:hAnsi="Times New Roman" w:hint="eastAsia"/>
          <w:bCs/>
          <w:kern w:val="0"/>
          <w:sz w:val="24"/>
        </w:rPr>
        <w:t>。基金管理人已</w:t>
      </w:r>
      <w:r w:rsidR="00922890" w:rsidRPr="00504775">
        <w:rPr>
          <w:rFonts w:ascii="Times New Roman" w:hAnsi="Times New Roman"/>
          <w:bCs/>
          <w:kern w:val="0"/>
          <w:sz w:val="24"/>
        </w:rPr>
        <w:t>与</w:t>
      </w:r>
      <w:r w:rsidR="00922890" w:rsidRPr="00504775">
        <w:rPr>
          <w:rFonts w:ascii="Times New Roman" w:hAnsi="Times New Roman" w:hint="eastAsia"/>
          <w:bCs/>
          <w:kern w:val="0"/>
          <w:sz w:val="24"/>
        </w:rPr>
        <w:t>基金托管人</w:t>
      </w:r>
      <w:r w:rsidR="00922890" w:rsidRPr="00504775">
        <w:rPr>
          <w:rFonts w:ascii="Times New Roman" w:hAnsi="Times New Roman"/>
          <w:bCs/>
          <w:kern w:val="0"/>
          <w:sz w:val="24"/>
        </w:rPr>
        <w:t>中国</w:t>
      </w:r>
      <w:r w:rsidR="00922890" w:rsidRPr="00504775">
        <w:rPr>
          <w:rFonts w:ascii="Times New Roman" w:hAnsi="Times New Roman" w:hint="eastAsia"/>
          <w:bCs/>
          <w:kern w:val="0"/>
          <w:sz w:val="24"/>
        </w:rPr>
        <w:t>农业</w:t>
      </w:r>
      <w:r w:rsidR="00922890" w:rsidRPr="00504775">
        <w:rPr>
          <w:rFonts w:ascii="Times New Roman" w:hAnsi="Times New Roman"/>
          <w:bCs/>
          <w:kern w:val="0"/>
          <w:sz w:val="24"/>
        </w:rPr>
        <w:t>银行股份有限公司协商</w:t>
      </w:r>
      <w:r w:rsidR="00922890" w:rsidRPr="00504775">
        <w:rPr>
          <w:rFonts w:ascii="Times New Roman" w:hAnsi="Times New Roman" w:hint="eastAsia"/>
          <w:bCs/>
          <w:kern w:val="0"/>
          <w:sz w:val="24"/>
        </w:rPr>
        <w:t>一致</w:t>
      </w:r>
      <w:r w:rsidR="00922890" w:rsidRPr="00504775">
        <w:rPr>
          <w:rFonts w:ascii="Times New Roman" w:hAnsi="Times New Roman"/>
          <w:bCs/>
          <w:kern w:val="0"/>
          <w:sz w:val="24"/>
        </w:rPr>
        <w:t>，</w:t>
      </w:r>
      <w:r w:rsidR="00922890" w:rsidRPr="00504775">
        <w:rPr>
          <w:rFonts w:ascii="Times New Roman" w:hAnsi="Times New Roman" w:hint="eastAsia"/>
          <w:bCs/>
          <w:kern w:val="0"/>
          <w:sz w:val="24"/>
        </w:rPr>
        <w:t>并报中国证监会备案</w:t>
      </w:r>
      <w:r w:rsidR="00922890" w:rsidRPr="00504775">
        <w:rPr>
          <w:rFonts w:ascii="Times New Roman" w:hAnsi="Times New Roman"/>
          <w:sz w:val="24"/>
          <w:szCs w:val="24"/>
        </w:rPr>
        <w:t>，符合相关法律法规</w:t>
      </w:r>
      <w:r w:rsidR="00FB0D4E" w:rsidRPr="00504775">
        <w:rPr>
          <w:rFonts w:ascii="Times New Roman" w:hAnsi="Times New Roman" w:hint="eastAsia"/>
          <w:sz w:val="24"/>
          <w:szCs w:val="24"/>
        </w:rPr>
        <w:t>规定</w:t>
      </w:r>
      <w:r w:rsidR="00922890" w:rsidRPr="00504775">
        <w:rPr>
          <w:rFonts w:ascii="Times New Roman" w:hAnsi="Times New Roman"/>
          <w:sz w:val="24"/>
          <w:szCs w:val="24"/>
        </w:rPr>
        <w:t>及</w:t>
      </w:r>
      <w:r w:rsidR="00922890" w:rsidRPr="00504775">
        <w:rPr>
          <w:rFonts w:ascii="Times New Roman" w:hAnsi="Times New Roman" w:hint="eastAsia"/>
          <w:sz w:val="24"/>
          <w:szCs w:val="24"/>
        </w:rPr>
        <w:t>《</w:t>
      </w:r>
      <w:hyperlink r:id="rId7" w:tgtFrame="_blank" w:history="1">
        <w:r w:rsidR="00922890" w:rsidRPr="00504775">
          <w:rPr>
            <w:rFonts w:ascii="Times New Roman" w:hAnsi="Times New Roman"/>
            <w:sz w:val="24"/>
            <w:szCs w:val="24"/>
          </w:rPr>
          <w:t>基金</w:t>
        </w:r>
      </w:hyperlink>
      <w:r w:rsidR="00922890" w:rsidRPr="00504775">
        <w:rPr>
          <w:rFonts w:ascii="Times New Roman" w:hAnsi="Times New Roman"/>
          <w:sz w:val="24"/>
          <w:szCs w:val="24"/>
        </w:rPr>
        <w:t>合同</w:t>
      </w:r>
      <w:r w:rsidR="00922890" w:rsidRPr="00504775">
        <w:rPr>
          <w:rFonts w:ascii="Times New Roman" w:hAnsi="Times New Roman" w:hint="eastAsia"/>
          <w:sz w:val="24"/>
          <w:szCs w:val="24"/>
        </w:rPr>
        <w:t>》</w:t>
      </w:r>
      <w:r w:rsidR="00922890" w:rsidRPr="00504775">
        <w:rPr>
          <w:rFonts w:ascii="Times New Roman" w:hAnsi="Times New Roman"/>
          <w:sz w:val="24"/>
          <w:szCs w:val="24"/>
        </w:rPr>
        <w:t>的</w:t>
      </w:r>
      <w:r w:rsidR="00FB0D4E" w:rsidRPr="00504775">
        <w:rPr>
          <w:rFonts w:ascii="Times New Roman" w:hAnsi="Times New Roman" w:hint="eastAsia"/>
          <w:sz w:val="24"/>
          <w:szCs w:val="24"/>
        </w:rPr>
        <w:t>约定</w:t>
      </w:r>
      <w:r w:rsidR="00922890" w:rsidRPr="00504775">
        <w:rPr>
          <w:rFonts w:ascii="Times New Roman" w:hAnsi="Times New Roman"/>
          <w:sz w:val="24"/>
          <w:szCs w:val="24"/>
        </w:rPr>
        <w:t>。</w:t>
      </w:r>
    </w:p>
    <w:p w:rsidR="00B56454" w:rsidRPr="00504775" w:rsidRDefault="00FB0D4E" w:rsidP="00A25083">
      <w:pPr>
        <w:spacing w:line="460" w:lineRule="exact"/>
        <w:ind w:firstLineChars="200" w:firstLine="480"/>
        <w:rPr>
          <w:rFonts w:ascii="Times New Roman" w:hAnsi="Times New Roman" w:hint="eastAsia"/>
          <w:bCs/>
          <w:kern w:val="0"/>
          <w:sz w:val="24"/>
        </w:rPr>
      </w:pPr>
      <w:r w:rsidRPr="00504775">
        <w:rPr>
          <w:rFonts w:ascii="Times New Roman" w:hAnsi="Times New Roman" w:hint="eastAsia"/>
          <w:bCs/>
          <w:kern w:val="0"/>
          <w:sz w:val="24"/>
        </w:rPr>
        <w:t>本公告仅对上述基金调整业绩比较基准的有关事项予以说明。</w:t>
      </w:r>
      <w:r w:rsidR="00922890" w:rsidRPr="00504775">
        <w:rPr>
          <w:rFonts w:ascii="Times New Roman" w:hAnsi="Times New Roman"/>
          <w:bCs/>
          <w:kern w:val="0"/>
          <w:sz w:val="24"/>
        </w:rPr>
        <w:t>投资者欲了解</w:t>
      </w:r>
      <w:r w:rsidRPr="00504775">
        <w:rPr>
          <w:rFonts w:ascii="Times New Roman" w:hAnsi="Times New Roman" w:hint="eastAsia"/>
          <w:bCs/>
          <w:kern w:val="0"/>
          <w:sz w:val="24"/>
        </w:rPr>
        <w:t>各</w:t>
      </w:r>
      <w:r w:rsidR="00922890" w:rsidRPr="00504775">
        <w:rPr>
          <w:rFonts w:ascii="Times New Roman" w:hAnsi="Times New Roman"/>
          <w:bCs/>
          <w:kern w:val="0"/>
          <w:sz w:val="24"/>
        </w:rPr>
        <w:t>基金的详细情况，请登录本公司网站（</w:t>
      </w:r>
      <w:r w:rsidR="00922890" w:rsidRPr="00504775">
        <w:rPr>
          <w:rFonts w:ascii="Times New Roman" w:hAnsi="Times New Roman"/>
          <w:bCs/>
          <w:kern w:val="0"/>
          <w:sz w:val="24"/>
        </w:rPr>
        <w:t>www.csfunds.com.cn</w:t>
      </w:r>
      <w:r w:rsidR="00922890" w:rsidRPr="00504775">
        <w:rPr>
          <w:rFonts w:ascii="Times New Roman" w:hAnsi="Times New Roman"/>
          <w:bCs/>
          <w:kern w:val="0"/>
          <w:sz w:val="24"/>
        </w:rPr>
        <w:t>）或拨打本公司客户服务电话（</w:t>
      </w:r>
      <w:r w:rsidR="00922890" w:rsidRPr="00504775">
        <w:rPr>
          <w:rFonts w:ascii="Times New Roman" w:hAnsi="Times New Roman"/>
          <w:bCs/>
          <w:kern w:val="0"/>
          <w:sz w:val="24"/>
        </w:rPr>
        <w:t>400-888-2666</w:t>
      </w:r>
      <w:r w:rsidR="00922890" w:rsidRPr="00504775">
        <w:rPr>
          <w:rFonts w:ascii="Times New Roman" w:hAnsi="Times New Roman"/>
          <w:bCs/>
          <w:kern w:val="0"/>
          <w:sz w:val="24"/>
        </w:rPr>
        <w:t>）。</w:t>
      </w:r>
    </w:p>
    <w:p w:rsidR="00B56454" w:rsidRPr="00504775" w:rsidRDefault="00922890" w:rsidP="00A25083">
      <w:pPr>
        <w:spacing w:line="460" w:lineRule="exact"/>
        <w:ind w:firstLineChars="200" w:firstLine="480"/>
        <w:rPr>
          <w:rFonts w:ascii="Times New Roman" w:hAnsi="Times New Roman"/>
          <w:sz w:val="24"/>
          <w:szCs w:val="24"/>
        </w:rPr>
      </w:pPr>
      <w:r w:rsidRPr="00504775">
        <w:rPr>
          <w:rFonts w:ascii="Times New Roman" w:hAnsi="Times New Roman"/>
          <w:sz w:val="24"/>
          <w:szCs w:val="24"/>
        </w:rPr>
        <w:t>特此公告</w:t>
      </w:r>
      <w:r w:rsidRPr="00504775">
        <w:rPr>
          <w:rFonts w:ascii="Times New Roman" w:hAnsi="Times New Roman" w:hint="eastAsia"/>
          <w:sz w:val="24"/>
          <w:szCs w:val="24"/>
        </w:rPr>
        <w:t>。</w:t>
      </w:r>
    </w:p>
    <w:p w:rsidR="00B56454" w:rsidRPr="00504775" w:rsidRDefault="00922890">
      <w:pPr>
        <w:spacing w:line="360" w:lineRule="auto"/>
        <w:ind w:firstLineChars="200" w:firstLine="480"/>
        <w:rPr>
          <w:rFonts w:ascii="Times New Roman" w:hAnsi="Times New Roman"/>
          <w:szCs w:val="21"/>
        </w:rPr>
      </w:pPr>
      <w:r w:rsidRPr="00504775">
        <w:rPr>
          <w:rFonts w:ascii="Times New Roman" w:hAnsi="Times New Roman" w:hint="eastAsia"/>
          <w:sz w:val="24"/>
          <w:szCs w:val="24"/>
        </w:rPr>
        <w:t xml:space="preserve">                                             </w:t>
      </w:r>
      <w:r w:rsidRPr="00504775">
        <w:rPr>
          <w:rFonts w:ascii="Times New Roman" w:hAnsi="Times New Roman" w:hint="eastAsia"/>
          <w:sz w:val="24"/>
          <w:szCs w:val="24"/>
        </w:rPr>
        <w:t>长盛</w:t>
      </w:r>
      <w:hyperlink r:id="rId8" w:tgtFrame="_blank" w:history="1">
        <w:r w:rsidRPr="00504775">
          <w:rPr>
            <w:rFonts w:ascii="Times New Roman" w:hAnsi="Times New Roman"/>
            <w:sz w:val="24"/>
            <w:szCs w:val="24"/>
          </w:rPr>
          <w:t>基金</w:t>
        </w:r>
      </w:hyperlink>
      <w:r w:rsidRPr="00504775">
        <w:rPr>
          <w:rFonts w:ascii="Times New Roman" w:hAnsi="Times New Roman"/>
          <w:sz w:val="24"/>
          <w:szCs w:val="24"/>
        </w:rPr>
        <w:t>管理有限公司</w:t>
      </w:r>
      <w:r w:rsidRPr="00504775">
        <w:rPr>
          <w:rFonts w:ascii="Times New Roman" w:hAnsi="Times New Roman"/>
          <w:sz w:val="24"/>
          <w:szCs w:val="24"/>
        </w:rPr>
        <w:br/>
      </w:r>
      <w:r w:rsidRPr="00504775">
        <w:rPr>
          <w:rFonts w:ascii="Times New Roman" w:hAnsi="Times New Roman"/>
          <w:sz w:val="24"/>
          <w:szCs w:val="24"/>
        </w:rPr>
        <w:t xml:space="preserve">　</w:t>
      </w:r>
      <w:r w:rsidRPr="00504775">
        <w:rPr>
          <w:rFonts w:ascii="Times New Roman" w:hAnsi="Times New Roman" w:hint="eastAsia"/>
          <w:sz w:val="24"/>
          <w:szCs w:val="24"/>
        </w:rPr>
        <w:t xml:space="preserve">                                                </w:t>
      </w:r>
      <w:r w:rsidRPr="00504775">
        <w:rPr>
          <w:rFonts w:ascii="Times New Roman" w:hAnsi="Times New Roman"/>
          <w:sz w:val="24"/>
          <w:szCs w:val="24"/>
        </w:rPr>
        <w:t xml:space="preserve">　</w:t>
      </w:r>
      <w:r w:rsidRPr="00504775">
        <w:rPr>
          <w:rFonts w:ascii="Times New Roman" w:hAnsi="Times New Roman"/>
          <w:sz w:val="24"/>
          <w:szCs w:val="24"/>
        </w:rPr>
        <w:t>20</w:t>
      </w:r>
      <w:r w:rsidR="00DB2677" w:rsidRPr="00504775">
        <w:rPr>
          <w:rFonts w:ascii="Times New Roman" w:hAnsi="Times New Roman"/>
          <w:sz w:val="24"/>
          <w:szCs w:val="24"/>
        </w:rPr>
        <w:t>20</w:t>
      </w:r>
      <w:r w:rsidRPr="00504775">
        <w:rPr>
          <w:rFonts w:ascii="Times New Roman" w:hAnsi="Times New Roman"/>
          <w:sz w:val="24"/>
          <w:szCs w:val="24"/>
        </w:rPr>
        <w:t>年</w:t>
      </w:r>
      <w:r w:rsidR="005A6366">
        <w:rPr>
          <w:rFonts w:ascii="Times New Roman" w:hAnsi="Times New Roman"/>
          <w:sz w:val="24"/>
          <w:szCs w:val="24"/>
        </w:rPr>
        <w:t>9</w:t>
      </w:r>
      <w:r w:rsidRPr="00504775">
        <w:rPr>
          <w:rFonts w:ascii="Times New Roman" w:hAnsi="Times New Roman"/>
          <w:sz w:val="24"/>
          <w:szCs w:val="24"/>
        </w:rPr>
        <w:t>月</w:t>
      </w:r>
      <w:r w:rsidR="005A6366">
        <w:rPr>
          <w:rFonts w:ascii="Times New Roman" w:hAnsi="Times New Roman"/>
          <w:sz w:val="24"/>
          <w:szCs w:val="24"/>
        </w:rPr>
        <w:t>14</w:t>
      </w:r>
      <w:r w:rsidRPr="00504775">
        <w:rPr>
          <w:rFonts w:ascii="Times New Roman" w:hAnsi="Times New Roman"/>
          <w:sz w:val="24"/>
          <w:szCs w:val="24"/>
        </w:rPr>
        <w:t>日</w:t>
      </w:r>
    </w:p>
    <w:sectPr w:rsidR="00B56454" w:rsidRPr="005047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22" w:rsidRDefault="00415A22" w:rsidP="00F61924">
      <w:r>
        <w:separator/>
      </w:r>
    </w:p>
  </w:endnote>
  <w:endnote w:type="continuationSeparator" w:id="0">
    <w:p w:rsidR="00415A22" w:rsidRDefault="00415A22" w:rsidP="00F61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22" w:rsidRDefault="00415A22" w:rsidP="00F61924">
      <w:r>
        <w:separator/>
      </w:r>
    </w:p>
  </w:footnote>
  <w:footnote w:type="continuationSeparator" w:id="0">
    <w:p w:rsidR="00415A22" w:rsidRDefault="00415A22" w:rsidP="00F619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7A7"/>
    <w:rsid w:val="00000521"/>
    <w:rsid w:val="00005584"/>
    <w:rsid w:val="000101CC"/>
    <w:rsid w:val="00030C82"/>
    <w:rsid w:val="000600B6"/>
    <w:rsid w:val="000B6D19"/>
    <w:rsid w:val="000C62BA"/>
    <w:rsid w:val="000E244F"/>
    <w:rsid w:val="00130FCF"/>
    <w:rsid w:val="00195036"/>
    <w:rsid w:val="001B68CC"/>
    <w:rsid w:val="00217E29"/>
    <w:rsid w:val="00223C17"/>
    <w:rsid w:val="002265B1"/>
    <w:rsid w:val="00236386"/>
    <w:rsid w:val="00254A2D"/>
    <w:rsid w:val="00257AC9"/>
    <w:rsid w:val="00263DC2"/>
    <w:rsid w:val="0035573B"/>
    <w:rsid w:val="00390A11"/>
    <w:rsid w:val="00390B13"/>
    <w:rsid w:val="003930A0"/>
    <w:rsid w:val="00396EC7"/>
    <w:rsid w:val="003A38F4"/>
    <w:rsid w:val="003C3AC8"/>
    <w:rsid w:val="003D3BB6"/>
    <w:rsid w:val="00401C09"/>
    <w:rsid w:val="00415A22"/>
    <w:rsid w:val="00426B92"/>
    <w:rsid w:val="004718CF"/>
    <w:rsid w:val="004F0110"/>
    <w:rsid w:val="00504775"/>
    <w:rsid w:val="005A6366"/>
    <w:rsid w:val="005E5526"/>
    <w:rsid w:val="005F5D7E"/>
    <w:rsid w:val="006434AD"/>
    <w:rsid w:val="006661DB"/>
    <w:rsid w:val="0068192F"/>
    <w:rsid w:val="00681FD8"/>
    <w:rsid w:val="00687738"/>
    <w:rsid w:val="006A4929"/>
    <w:rsid w:val="006B4634"/>
    <w:rsid w:val="006D6BD6"/>
    <w:rsid w:val="006E14D2"/>
    <w:rsid w:val="006F4912"/>
    <w:rsid w:val="00767FCF"/>
    <w:rsid w:val="0077190F"/>
    <w:rsid w:val="00783C91"/>
    <w:rsid w:val="007C45AD"/>
    <w:rsid w:val="007D163E"/>
    <w:rsid w:val="007E7449"/>
    <w:rsid w:val="007F4B87"/>
    <w:rsid w:val="00803F83"/>
    <w:rsid w:val="0083422B"/>
    <w:rsid w:val="00844A55"/>
    <w:rsid w:val="00863501"/>
    <w:rsid w:val="00874B1E"/>
    <w:rsid w:val="00887CD9"/>
    <w:rsid w:val="008B352B"/>
    <w:rsid w:val="008D0EDB"/>
    <w:rsid w:val="008D1D2F"/>
    <w:rsid w:val="008D7679"/>
    <w:rsid w:val="008E0457"/>
    <w:rsid w:val="008E246F"/>
    <w:rsid w:val="008E27B0"/>
    <w:rsid w:val="00922890"/>
    <w:rsid w:val="00940164"/>
    <w:rsid w:val="00946508"/>
    <w:rsid w:val="0095432A"/>
    <w:rsid w:val="0095587D"/>
    <w:rsid w:val="00970BCB"/>
    <w:rsid w:val="009A1774"/>
    <w:rsid w:val="009B6BF7"/>
    <w:rsid w:val="009D3B0C"/>
    <w:rsid w:val="00A207A7"/>
    <w:rsid w:val="00A25083"/>
    <w:rsid w:val="00A52A7E"/>
    <w:rsid w:val="00A60E63"/>
    <w:rsid w:val="00A7402C"/>
    <w:rsid w:val="00A804BD"/>
    <w:rsid w:val="00A873CE"/>
    <w:rsid w:val="00A93087"/>
    <w:rsid w:val="00AC112A"/>
    <w:rsid w:val="00AC7C74"/>
    <w:rsid w:val="00AD1384"/>
    <w:rsid w:val="00AD6F14"/>
    <w:rsid w:val="00AE4337"/>
    <w:rsid w:val="00AE7937"/>
    <w:rsid w:val="00B11764"/>
    <w:rsid w:val="00B56454"/>
    <w:rsid w:val="00B67D0A"/>
    <w:rsid w:val="00B9561A"/>
    <w:rsid w:val="00BB5CD7"/>
    <w:rsid w:val="00BF50E3"/>
    <w:rsid w:val="00C95037"/>
    <w:rsid w:val="00C97D71"/>
    <w:rsid w:val="00CC322D"/>
    <w:rsid w:val="00CF0384"/>
    <w:rsid w:val="00D11487"/>
    <w:rsid w:val="00D13CA6"/>
    <w:rsid w:val="00D32B32"/>
    <w:rsid w:val="00D40C8D"/>
    <w:rsid w:val="00D54BE4"/>
    <w:rsid w:val="00D865FB"/>
    <w:rsid w:val="00DB2677"/>
    <w:rsid w:val="00DB2785"/>
    <w:rsid w:val="00DB4A21"/>
    <w:rsid w:val="00DC6CD7"/>
    <w:rsid w:val="00DE4C35"/>
    <w:rsid w:val="00E15ED0"/>
    <w:rsid w:val="00E44542"/>
    <w:rsid w:val="00E749E6"/>
    <w:rsid w:val="00EC09F3"/>
    <w:rsid w:val="00ED38BF"/>
    <w:rsid w:val="00ED762E"/>
    <w:rsid w:val="00EF43DA"/>
    <w:rsid w:val="00F55E85"/>
    <w:rsid w:val="00F61924"/>
    <w:rsid w:val="00FB0D4E"/>
    <w:rsid w:val="00FB7824"/>
    <w:rsid w:val="0A3B1688"/>
    <w:rsid w:val="17A9055F"/>
    <w:rsid w:val="1E1776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5">
    <w:name w:val="heading 5"/>
    <w:basedOn w:val="a"/>
    <w:link w:val="50"/>
    <w:uiPriority w:val="9"/>
    <w:qFormat/>
    <w:rsid w:val="00B11764"/>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pPr>
      <w:jc w:val="left"/>
    </w:pPr>
  </w:style>
  <w:style w:type="paragraph" w:styleId="a5">
    <w:name w:val="Balloon Text"/>
    <w:basedOn w:val="a"/>
    <w:link w:val="Char"/>
    <w:unhideWhenUsed/>
    <w:rPr>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7">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Pr>
      <w:sz w:val="18"/>
      <w:szCs w:val="18"/>
    </w:rPr>
  </w:style>
  <w:style w:type="character" w:customStyle="1" w:styleId="Char0">
    <w:name w:val="页脚 Char"/>
    <w:link w:val="a6"/>
    <w:uiPriority w:val="99"/>
    <w:rPr>
      <w:sz w:val="18"/>
      <w:szCs w:val="18"/>
    </w:rPr>
  </w:style>
  <w:style w:type="character" w:customStyle="1" w:styleId="Char">
    <w:name w:val="批注框文本 Char"/>
    <w:link w:val="a5"/>
    <w:semiHidden/>
    <w:rPr>
      <w:rFonts w:ascii="Calibri" w:hAnsi="Calibri"/>
      <w:kern w:val="2"/>
      <w:sz w:val="18"/>
      <w:szCs w:val="18"/>
    </w:rPr>
  </w:style>
  <w:style w:type="character" w:styleId="a8">
    <w:name w:val="annotation reference"/>
    <w:semiHidden/>
    <w:unhideWhenUsed/>
    <w:rPr>
      <w:sz w:val="21"/>
      <w:szCs w:val="21"/>
    </w:rPr>
  </w:style>
  <w:style w:type="character" w:customStyle="1" w:styleId="50">
    <w:name w:val="标题 5 字符"/>
    <w:link w:val="5"/>
    <w:uiPriority w:val="9"/>
    <w:rsid w:val="00B11764"/>
    <w:rPr>
      <w:rFonts w:ascii="宋体" w:hAnsi="宋体" w:cs="宋体"/>
      <w:b/>
      <w:bCs/>
    </w:rPr>
  </w:style>
  <w:style w:type="paragraph" w:styleId="a9">
    <w:name w:val="Normal (Web)"/>
    <w:basedOn w:val="a"/>
    <w:uiPriority w:val="99"/>
    <w:semiHidden/>
    <w:unhideWhenUsed/>
    <w:rsid w:val="00B11764"/>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semiHidden/>
    <w:unhideWhenUsed/>
    <w:rsid w:val="00FB0D4E"/>
    <w:rPr>
      <w:b/>
      <w:bCs/>
    </w:rPr>
  </w:style>
  <w:style w:type="character" w:customStyle="1" w:styleId="a4">
    <w:name w:val="批注文字 字符"/>
    <w:link w:val="a3"/>
    <w:rsid w:val="00FB0D4E"/>
    <w:rPr>
      <w:rFonts w:ascii="Calibri" w:hAnsi="Calibri"/>
      <w:kern w:val="2"/>
      <w:sz w:val="21"/>
      <w:szCs w:val="22"/>
    </w:rPr>
  </w:style>
  <w:style w:type="character" w:customStyle="1" w:styleId="ab">
    <w:name w:val="批注主题 字符"/>
    <w:link w:val="aa"/>
    <w:semiHidden/>
    <w:rsid w:val="00FB0D4E"/>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w:divs>
    <w:div w:id="118936813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tockcity.cn/jijin" TargetMode="External"/><Relationship Id="rId3" Type="http://schemas.openxmlformats.org/officeDocument/2006/relationships/settings" Target="settings.xml"/><Relationship Id="rId7" Type="http://schemas.openxmlformats.org/officeDocument/2006/relationships/hyperlink" Target="http://www.stockcity.cn/jij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Application>Microsoft Office Word</Application>
  <DocSecurity>4</DocSecurity>
  <Lines>8</Lines>
  <Paragraphs>2</Paragraphs>
  <ScaleCrop>false</ScaleCrop>
  <Company>Lenovo</Company>
  <LinksUpToDate>false</LinksUpToDate>
  <CharactersWithSpaces>1136</CharactersWithSpaces>
  <SharedDoc>false</SharedDoc>
  <HLinks>
    <vt:vector size="12" baseType="variant">
      <vt:variant>
        <vt:i4>16</vt:i4>
      </vt:variant>
      <vt:variant>
        <vt:i4>3</vt:i4>
      </vt:variant>
      <vt:variant>
        <vt:i4>0</vt:i4>
      </vt:variant>
      <vt:variant>
        <vt:i4>5</vt:i4>
      </vt:variant>
      <vt:variant>
        <vt:lpwstr>http://www.stockcity.cn/jijin</vt:lpwstr>
      </vt:variant>
      <vt:variant>
        <vt:lpwstr/>
      </vt:variant>
      <vt:variant>
        <vt:i4>16</vt:i4>
      </vt:variant>
      <vt:variant>
        <vt:i4>0</vt:i4>
      </vt:variant>
      <vt:variant>
        <vt:i4>0</vt:i4>
      </vt:variant>
      <vt:variant>
        <vt:i4>5</vt:i4>
      </vt:variant>
      <vt:variant>
        <vt:lpwstr>http://www.stockcity.cn/jijin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关于长盛航天海工装备灵活配置混合型证券投资基金业绩比较基准更名</dc:title>
  <dc:subject/>
  <dc:creator>梁洁琼</dc:creator>
  <cp:keywords/>
  <cp:lastModifiedBy>ZHONGM</cp:lastModifiedBy>
  <cp:revision>2</cp:revision>
  <cp:lastPrinted>2015-01-07T00:59:00Z</cp:lastPrinted>
  <dcterms:created xsi:type="dcterms:W3CDTF">2020-09-13T16:03:00Z</dcterms:created>
  <dcterms:modified xsi:type="dcterms:W3CDTF">2020-09-13T16:03:00Z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