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0C3CDA" w:rsidRDefault="004403B8" w:rsidP="00814637">
      <w:pPr>
        <w:widowControl/>
        <w:shd w:val="clear" w:color="auto" w:fill="FFFFFF"/>
        <w:spacing w:line="515" w:lineRule="atLeast"/>
        <w:jc w:val="center"/>
        <w:rPr>
          <w:rFonts w:ascii="微软雅黑" w:eastAsia="微软雅黑" w:hAnsi="微软雅黑"/>
          <w:color w:val="4D4F53"/>
          <w:spacing w:val="15"/>
          <w:sz w:val="27"/>
          <w:szCs w:val="27"/>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2F6F87">
        <w:rPr>
          <w:rFonts w:asciiTheme="majorEastAsia" w:eastAsiaTheme="majorEastAsia" w:hAnsiTheme="majorEastAsia" w:cs="Calibri"/>
          <w:b/>
          <w:bCs/>
          <w:color w:val="000000"/>
          <w:kern w:val="0"/>
          <w:sz w:val="28"/>
          <w:szCs w:val="28"/>
          <w:shd w:val="clear" w:color="auto" w:fill="FFFFFF"/>
        </w:rPr>
        <w:t>北京</w:t>
      </w:r>
      <w:r w:rsidR="00B80576">
        <w:rPr>
          <w:rFonts w:asciiTheme="majorEastAsia" w:eastAsiaTheme="majorEastAsia" w:hAnsiTheme="majorEastAsia" w:cs="Calibri"/>
          <w:b/>
          <w:bCs/>
          <w:color w:val="000000"/>
          <w:kern w:val="0"/>
          <w:sz w:val="28"/>
          <w:szCs w:val="28"/>
          <w:shd w:val="clear" w:color="auto" w:fill="FFFFFF"/>
        </w:rPr>
        <w:t>汇成基金</w:t>
      </w:r>
      <w:r w:rsidR="002F6F87">
        <w:rPr>
          <w:rFonts w:asciiTheme="majorEastAsia" w:eastAsiaTheme="majorEastAsia" w:hAnsiTheme="majorEastAsia" w:cs="Calibri"/>
          <w:b/>
          <w:bCs/>
          <w:color w:val="000000"/>
          <w:kern w:val="0"/>
          <w:sz w:val="28"/>
          <w:szCs w:val="28"/>
          <w:shd w:val="clear" w:color="auto" w:fill="FFFFFF"/>
        </w:rPr>
        <w:t>销售</w:t>
      </w:r>
      <w:r w:rsidR="000C3CDA" w:rsidRPr="0093211B">
        <w:rPr>
          <w:rFonts w:asciiTheme="majorEastAsia" w:eastAsiaTheme="majorEastAsia" w:hAnsiTheme="majorEastAsia" w:cs="Calibri" w:hint="eastAsia"/>
          <w:b/>
          <w:bCs/>
          <w:color w:val="000000"/>
          <w:kern w:val="0"/>
          <w:sz w:val="28"/>
          <w:szCs w:val="28"/>
          <w:shd w:val="clear" w:color="auto" w:fill="FFFFFF"/>
        </w:rPr>
        <w:t>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E8002E">
        <w:rPr>
          <w:rFonts w:asciiTheme="minorEastAsia" w:hAnsiTheme="minorEastAsia" w:cs="Calibri"/>
          <w:color w:val="000000"/>
          <w:kern w:val="0"/>
          <w:sz w:val="22"/>
        </w:rPr>
        <w:t>9</w:t>
      </w:r>
      <w:r w:rsidRPr="003A5DEC">
        <w:rPr>
          <w:rFonts w:asciiTheme="minorEastAsia" w:hAnsiTheme="minorEastAsia" w:cs="Calibri" w:hint="eastAsia"/>
          <w:color w:val="000000"/>
          <w:kern w:val="0"/>
          <w:sz w:val="22"/>
        </w:rPr>
        <w:t>月</w:t>
      </w:r>
      <w:r w:rsidR="00A1535E">
        <w:rPr>
          <w:rFonts w:asciiTheme="minorEastAsia" w:hAnsiTheme="minorEastAsia" w:cs="Calibri"/>
          <w:color w:val="000000"/>
          <w:kern w:val="0"/>
          <w:sz w:val="22"/>
        </w:rPr>
        <w:t>1</w:t>
      </w:r>
      <w:r w:rsidR="002F6F87">
        <w:rPr>
          <w:rFonts w:asciiTheme="minorEastAsia" w:hAnsiTheme="minorEastAsia" w:cs="Calibri"/>
          <w:color w:val="000000"/>
          <w:kern w:val="0"/>
          <w:sz w:val="22"/>
        </w:rPr>
        <w:t>2</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5E1F17">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B80576">
        <w:rPr>
          <w:rFonts w:asciiTheme="minorEastAsia" w:hAnsiTheme="minorEastAsia" w:cs="Calibri" w:hint="eastAsia"/>
          <w:color w:val="000000"/>
          <w:kern w:val="0"/>
          <w:sz w:val="24"/>
          <w:szCs w:val="24"/>
        </w:rPr>
        <w:t>北京汇成基金销售有限公司</w:t>
      </w:r>
      <w:r w:rsidRPr="009B2C4B">
        <w:rPr>
          <w:rFonts w:asciiTheme="minorEastAsia" w:hAnsiTheme="minorEastAsia" w:cs="Calibri" w:hint="eastAsia"/>
          <w:color w:val="000000"/>
          <w:kern w:val="0"/>
          <w:sz w:val="24"/>
          <w:szCs w:val="24"/>
        </w:rPr>
        <w:t>（以下简称“</w:t>
      </w:r>
      <w:r w:rsidR="00B80576">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0074326E" w:rsidRPr="009B2C4B">
        <w:rPr>
          <w:rFonts w:asciiTheme="minorEastAsia" w:hAnsiTheme="minorEastAsia" w:cs="Calibri"/>
          <w:color w:val="000000"/>
          <w:kern w:val="0"/>
          <w:sz w:val="24"/>
          <w:szCs w:val="24"/>
        </w:rPr>
        <w:t>2020</w:t>
      </w:r>
      <w:r w:rsidR="0074326E" w:rsidRPr="009B2C4B">
        <w:rPr>
          <w:rFonts w:asciiTheme="minorEastAsia" w:hAnsiTheme="minorEastAsia" w:cs="Calibri" w:hint="eastAsia"/>
          <w:color w:val="000000"/>
          <w:kern w:val="0"/>
          <w:sz w:val="24"/>
          <w:szCs w:val="24"/>
        </w:rPr>
        <w:t>年</w:t>
      </w:r>
      <w:r w:rsidR="00E8002E">
        <w:rPr>
          <w:rFonts w:asciiTheme="minorEastAsia" w:hAnsiTheme="minorEastAsia" w:cs="Calibri"/>
          <w:color w:val="000000"/>
          <w:kern w:val="0"/>
          <w:sz w:val="24"/>
          <w:szCs w:val="24"/>
        </w:rPr>
        <w:t>9</w:t>
      </w:r>
      <w:r w:rsidRPr="009B2C4B">
        <w:rPr>
          <w:rFonts w:asciiTheme="minorEastAsia" w:hAnsiTheme="minorEastAsia" w:cs="Calibri" w:hint="eastAsia"/>
          <w:color w:val="000000"/>
          <w:kern w:val="0"/>
          <w:sz w:val="24"/>
          <w:szCs w:val="24"/>
        </w:rPr>
        <w:t>月</w:t>
      </w:r>
      <w:r w:rsidR="00A1535E">
        <w:rPr>
          <w:rFonts w:asciiTheme="minorEastAsia" w:hAnsiTheme="minorEastAsia" w:cs="Calibri"/>
          <w:color w:val="000000"/>
          <w:kern w:val="0"/>
          <w:sz w:val="24"/>
          <w:szCs w:val="24"/>
        </w:rPr>
        <w:t>1</w:t>
      </w:r>
      <w:r w:rsidR="005E1F17">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日起，本公司将增加</w:t>
      </w:r>
      <w:r w:rsidR="00B80576">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B80576">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协商一致，自</w:t>
      </w:r>
      <w:r w:rsidR="00A1535E">
        <w:rPr>
          <w:rFonts w:asciiTheme="minorEastAsia" w:hAnsiTheme="minorEastAsia" w:cs="Calibri"/>
          <w:color w:val="000000"/>
          <w:kern w:val="0"/>
          <w:sz w:val="24"/>
          <w:szCs w:val="24"/>
        </w:rPr>
        <w:t>2020年9月1</w:t>
      </w:r>
      <w:r w:rsidR="009664DD">
        <w:rPr>
          <w:rFonts w:asciiTheme="minorEastAsia" w:hAnsiTheme="minorEastAsia" w:cs="Calibri"/>
          <w:color w:val="000000"/>
          <w:kern w:val="0"/>
          <w:sz w:val="24"/>
          <w:szCs w:val="24"/>
        </w:rPr>
        <w:t>4</w:t>
      </w:r>
      <w:r w:rsidR="00A1535E">
        <w:rPr>
          <w:rFonts w:asciiTheme="minorEastAsia" w:hAnsiTheme="minorEastAsia" w:cs="Calibri"/>
          <w:color w:val="000000"/>
          <w:kern w:val="0"/>
          <w:sz w:val="24"/>
          <w:szCs w:val="24"/>
        </w:rPr>
        <w:t>日</w:t>
      </w:r>
      <w:r w:rsidRPr="009B2C4B">
        <w:rPr>
          <w:rFonts w:asciiTheme="minorEastAsia" w:hAnsiTheme="minorEastAsia" w:cs="Calibri" w:hint="eastAsia"/>
          <w:color w:val="000000"/>
          <w:kern w:val="0"/>
          <w:sz w:val="24"/>
          <w:szCs w:val="24"/>
        </w:rPr>
        <w:t>起，本公司旗下部分基金参加</w:t>
      </w:r>
      <w:r w:rsidR="00B80576">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费率优惠活动。</w:t>
      </w:r>
    </w:p>
    <w:p w:rsidR="005E1F17" w:rsidRPr="004403B8" w:rsidRDefault="005E1F17" w:rsidP="005E1F17">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213"/>
        <w:gridCol w:w="3827"/>
        <w:gridCol w:w="1276"/>
        <w:gridCol w:w="1256"/>
        <w:gridCol w:w="821"/>
        <w:gridCol w:w="933"/>
      </w:tblGrid>
      <w:tr w:rsidR="004C7FCD" w:rsidRPr="004133EB" w:rsidTr="00705C8C">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21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B8057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827"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B8057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2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000972</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新华万银多元策略灵活配置混合型证券投资基金</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003025</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新华红利回报混合型证券投资基金</w:t>
            </w:r>
            <w:r w:rsidR="00850707" w:rsidRPr="00606A9A">
              <w:rPr>
                <w:rFonts w:asciiTheme="minorEastAsia" w:hAnsiTheme="minorEastAsia" w:cs="Times New Roman" w:hint="eastAsia"/>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003739</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新华鑫弘灵活配置混合型证券投资基金</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004567</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新华安享惠泽39个月定期开放债券型证券投资基金</w:t>
            </w:r>
            <w:r>
              <w:rPr>
                <w:rFonts w:asciiTheme="minorEastAsia" w:hAnsiTheme="minorEastAsia" w:cs="Times New Roman" w:hint="eastAsia"/>
                <w:color w:val="000000"/>
                <w:sz w:val="24"/>
                <w:szCs w:val="24"/>
              </w:rPr>
              <w:t>（A类）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004576</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新华恒益量化灵活配置混合型证券投资基金</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004647</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新华鼎利债券型证券投资基金</w:t>
            </w:r>
            <w:r>
              <w:rPr>
                <w:rFonts w:asciiTheme="minorEastAsia" w:hAnsiTheme="minorEastAsia" w:cs="Times New Roman" w:hint="eastAsia"/>
                <w:color w:val="000000"/>
                <w:sz w:val="24"/>
                <w:szCs w:val="24"/>
              </w:rPr>
              <w:t>（A类）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005148</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新华活期添利货币市场基金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E</w:t>
            </w:r>
            <w:r>
              <w:rPr>
                <w:rFonts w:asciiTheme="minorEastAsia" w:hAnsiTheme="minorEastAsia" w:cs="Times New Roman" w:hint="eastAsia"/>
                <w:color w:val="000000"/>
                <w:sz w:val="24"/>
                <w:szCs w:val="24"/>
              </w:rPr>
              <w:t>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B80576"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8</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006892</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新华鼎利债券型证券投资基金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C</w:t>
            </w:r>
            <w:r>
              <w:rPr>
                <w:rFonts w:asciiTheme="minorEastAsia" w:hAnsiTheme="minorEastAsia" w:cs="Times New Roman" w:hint="eastAsia"/>
                <w:color w:val="000000"/>
                <w:sz w:val="24"/>
                <w:szCs w:val="24"/>
              </w:rPr>
              <w:t>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4964E2"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9</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008808</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新华安享惠泽39个月定期开放债券型证券投资基金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C</w:t>
            </w:r>
            <w:r>
              <w:rPr>
                <w:rFonts w:asciiTheme="minorEastAsia" w:hAnsiTheme="minorEastAsia" w:cs="Times New Roman" w:hint="eastAsia"/>
                <w:color w:val="000000"/>
                <w:sz w:val="24"/>
                <w:szCs w:val="24"/>
              </w:rPr>
              <w:t>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4964E2">
              <w:rPr>
                <w:rFonts w:asciiTheme="minorEastAsia" w:hAnsiTheme="minorEastAsia" w:cs="Times New Roman"/>
                <w:color w:val="000000"/>
                <w:sz w:val="24"/>
                <w:szCs w:val="24"/>
              </w:rPr>
              <w:t>0</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009099</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新华壹诺宝货币市场基金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E</w:t>
            </w:r>
            <w:r>
              <w:rPr>
                <w:rFonts w:asciiTheme="minorEastAsia" w:hAnsiTheme="minorEastAsia" w:cs="Times New Roman" w:hint="eastAsia"/>
                <w:color w:val="000000"/>
                <w:sz w:val="24"/>
                <w:szCs w:val="24"/>
              </w:rPr>
              <w:t>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6B593C">
              <w:rPr>
                <w:rFonts w:asciiTheme="minorEastAsia" w:hAnsiTheme="minorEastAsia" w:cs="Times New Roman"/>
                <w:color w:val="000000"/>
                <w:sz w:val="24"/>
                <w:szCs w:val="24"/>
              </w:rPr>
              <w:t>1</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009885</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新华景气行业混合型证券投资基金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705C8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6B593C">
              <w:rPr>
                <w:rFonts w:asciiTheme="minorEastAsia" w:hAnsiTheme="minorEastAsia" w:cs="Times New Roman"/>
                <w:color w:val="000000"/>
                <w:sz w:val="24"/>
                <w:szCs w:val="24"/>
              </w:rPr>
              <w:t>2</w:t>
            </w:r>
          </w:p>
        </w:tc>
        <w:tc>
          <w:tcPr>
            <w:tcW w:w="12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B80576" w:rsidP="00B80576">
            <w:pPr>
              <w:widowControl/>
              <w:spacing w:line="510" w:lineRule="atLeast"/>
              <w:jc w:val="center"/>
              <w:rPr>
                <w:rFonts w:asciiTheme="minorEastAsia" w:hAnsiTheme="minorEastAsia" w:cs="Times New Roman"/>
                <w:color w:val="000000"/>
                <w:sz w:val="24"/>
                <w:szCs w:val="24"/>
              </w:rPr>
            </w:pPr>
            <w:r w:rsidRPr="00B80576">
              <w:rPr>
                <w:rFonts w:asciiTheme="minorEastAsia" w:hAnsiTheme="minorEastAsia" w:cs="Times New Roman"/>
                <w:color w:val="000000"/>
                <w:sz w:val="24"/>
                <w:szCs w:val="24"/>
              </w:rPr>
              <w:t>009886</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B80576" w:rsidP="00B80576">
            <w:pPr>
              <w:widowControl/>
              <w:spacing w:line="510" w:lineRule="atLeast"/>
              <w:jc w:val="left"/>
              <w:rPr>
                <w:rFonts w:asciiTheme="minorEastAsia" w:hAnsiTheme="minorEastAsia" w:cs="Times New Roman"/>
                <w:color w:val="000000"/>
                <w:sz w:val="24"/>
                <w:szCs w:val="24"/>
              </w:rPr>
            </w:pPr>
            <w:r w:rsidRPr="00B80576">
              <w:rPr>
                <w:rFonts w:asciiTheme="minorEastAsia" w:hAnsiTheme="minorEastAsia" w:cs="Times New Roman" w:hint="eastAsia"/>
                <w:color w:val="000000"/>
                <w:sz w:val="24"/>
                <w:szCs w:val="24"/>
              </w:rPr>
              <w:t>新华景气行业混合型证券投资基金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B</w:t>
            </w:r>
            <w:r>
              <w:rPr>
                <w:rFonts w:asciiTheme="minorEastAsia" w:hAnsiTheme="minorEastAsia" w:cs="Times New Roman" w:hint="eastAsia"/>
                <w:color w:val="000000"/>
                <w:sz w:val="24"/>
                <w:szCs w:val="24"/>
              </w:rPr>
              <w:t>类）</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w:t>
      </w:r>
      <w:r w:rsidR="00CC6BFE">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基金开放日的开放时间，具体办理时间详见</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lastRenderedPageBreak/>
        <w:t>4.1、投资者应遵循</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B80576">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B80576">
        <w:rPr>
          <w:rFonts w:asciiTheme="minorEastAsia" w:hAnsiTheme="minorEastAsia"/>
          <w:sz w:val="24"/>
          <w:szCs w:val="24"/>
        </w:rPr>
        <w:t>9</w:t>
      </w:r>
      <w:r w:rsidRPr="00C5090B">
        <w:rPr>
          <w:rFonts w:asciiTheme="minorEastAsia" w:hAnsiTheme="minorEastAsia" w:hint="eastAsia"/>
          <w:sz w:val="24"/>
          <w:szCs w:val="24"/>
        </w:rPr>
        <w:t>月</w:t>
      </w:r>
      <w:r w:rsidR="007E45CA">
        <w:rPr>
          <w:rFonts w:asciiTheme="minorEastAsia" w:hAnsiTheme="minorEastAsia"/>
          <w:sz w:val="24"/>
          <w:szCs w:val="24"/>
        </w:rPr>
        <w:t>1</w:t>
      </w:r>
      <w:r w:rsidR="009664DD">
        <w:rPr>
          <w:rFonts w:asciiTheme="minorEastAsia" w:hAnsiTheme="minorEastAsia"/>
          <w:sz w:val="24"/>
          <w:szCs w:val="24"/>
        </w:rPr>
        <w:t>4</w:t>
      </w:r>
      <w:r w:rsidRPr="00C5090B">
        <w:rPr>
          <w:rFonts w:asciiTheme="minorEastAsia" w:hAnsiTheme="minorEastAsia" w:hint="eastAsia"/>
          <w:sz w:val="24"/>
          <w:szCs w:val="24"/>
        </w:rPr>
        <w:t>日起开展，暂不设截止日期，若有变动，以</w:t>
      </w:r>
      <w:r w:rsidR="00B80576">
        <w:rPr>
          <w:rFonts w:asciiTheme="minorEastAsia" w:hAnsiTheme="minorEastAsia" w:hint="eastAsia"/>
          <w:sz w:val="24"/>
          <w:szCs w:val="24"/>
        </w:rPr>
        <w:t>汇成基金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B80576">
        <w:rPr>
          <w:rFonts w:asciiTheme="minorEastAsia" w:hAnsiTheme="minorEastAsia" w:hint="eastAsia"/>
          <w:sz w:val="24"/>
          <w:szCs w:val="24"/>
        </w:rPr>
        <w:t>汇成基金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00FE7D2A">
        <w:rPr>
          <w:rFonts w:asciiTheme="minorEastAsia" w:hAnsiTheme="minorEastAsia" w:hint="eastAsia"/>
          <w:sz w:val="24"/>
          <w:szCs w:val="24"/>
        </w:rPr>
        <w:t>0</w:t>
      </w:r>
      <w:r w:rsidR="00FE7D2A">
        <w:rPr>
          <w:rFonts w:asciiTheme="minorEastAsia" w:hAnsiTheme="minorEastAsia"/>
          <w:sz w:val="24"/>
          <w:szCs w:val="24"/>
        </w:rPr>
        <w:t>.</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B80576">
        <w:rPr>
          <w:rFonts w:asciiTheme="minorEastAsia" w:hAnsiTheme="minorEastAsia" w:hint="eastAsia"/>
          <w:sz w:val="24"/>
          <w:szCs w:val="24"/>
        </w:rPr>
        <w:t>汇成基金</w:t>
      </w:r>
      <w:r w:rsidRPr="00AC7EC4">
        <w:rPr>
          <w:rFonts w:asciiTheme="minorEastAsia" w:hAnsiTheme="minorEastAsia" w:hint="eastAsia"/>
          <w:sz w:val="24"/>
          <w:szCs w:val="24"/>
        </w:rPr>
        <w:t>办理上述基金的申购（包括定期定额投资）、赎回等业务，具体办理规则请遵循</w:t>
      </w:r>
      <w:r w:rsidR="00B80576">
        <w:rPr>
          <w:rFonts w:asciiTheme="minorEastAsia" w:hAnsiTheme="minorEastAsia" w:hint="eastAsia"/>
          <w:sz w:val="24"/>
          <w:szCs w:val="24"/>
        </w:rPr>
        <w:t>汇成基金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B80576">
        <w:rPr>
          <w:rFonts w:asciiTheme="minorEastAsia" w:hAnsiTheme="minorEastAsia" w:hint="eastAsia"/>
          <w:sz w:val="24"/>
          <w:szCs w:val="24"/>
        </w:rPr>
        <w:t>汇成基金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B80576">
        <w:rPr>
          <w:rFonts w:asciiTheme="minorEastAsia" w:hAnsiTheme="minorEastAsia" w:hint="eastAsia"/>
          <w:sz w:val="24"/>
          <w:szCs w:val="24"/>
        </w:rPr>
        <w:t>汇成基金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7E09F5" w:rsidRPr="0093211B" w:rsidRDefault="004403B8" w:rsidP="0093211B">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5E1F17" w:rsidRPr="005E1F17">
        <w:rPr>
          <w:rFonts w:asciiTheme="minorEastAsia" w:hAnsiTheme="minorEastAsia" w:cs="Calibri" w:hint="eastAsia"/>
          <w:color w:val="000000"/>
          <w:kern w:val="0"/>
          <w:sz w:val="24"/>
          <w:szCs w:val="24"/>
        </w:rPr>
        <w:t>北京汇成基金销售有限公司</w:t>
      </w:r>
    </w:p>
    <w:p w:rsidR="007E09F5" w:rsidRPr="0093211B" w:rsidRDefault="007E09F5" w:rsidP="0093211B">
      <w:pPr>
        <w:spacing w:line="360" w:lineRule="auto"/>
        <w:ind w:firstLine="420"/>
        <w:rPr>
          <w:rFonts w:asciiTheme="minorEastAsia" w:hAnsiTheme="minorEastAsia"/>
          <w:sz w:val="24"/>
          <w:szCs w:val="24"/>
        </w:rPr>
      </w:pPr>
      <w:r w:rsidRPr="0093211B">
        <w:rPr>
          <w:rFonts w:asciiTheme="minorEastAsia" w:hAnsiTheme="minorEastAsia" w:hint="eastAsia"/>
          <w:sz w:val="24"/>
          <w:szCs w:val="24"/>
        </w:rPr>
        <w:t>公司网站：</w:t>
      </w:r>
      <w:r w:rsidR="005E1F17" w:rsidRPr="005E1F17">
        <w:rPr>
          <w:rFonts w:asciiTheme="minorEastAsia" w:hAnsiTheme="minorEastAsia"/>
          <w:sz w:val="24"/>
          <w:szCs w:val="24"/>
        </w:rPr>
        <w:t>http://www.hcjijin.com/site/about</w:t>
      </w:r>
    </w:p>
    <w:p w:rsidR="00E31154" w:rsidRDefault="007E09F5" w:rsidP="0093211B">
      <w:pPr>
        <w:spacing w:line="360" w:lineRule="auto"/>
        <w:ind w:firstLineChars="200" w:firstLine="480"/>
        <w:rPr>
          <w:rFonts w:asciiTheme="minorEastAsia" w:hAnsiTheme="minorEastAsia"/>
          <w:sz w:val="24"/>
          <w:szCs w:val="24"/>
        </w:rPr>
      </w:pPr>
      <w:r w:rsidRPr="0093211B">
        <w:rPr>
          <w:rFonts w:asciiTheme="minorEastAsia" w:hAnsiTheme="minorEastAsia" w:hint="eastAsia"/>
          <w:sz w:val="24"/>
          <w:szCs w:val="24"/>
        </w:rPr>
        <w:t>客户电话：</w:t>
      </w:r>
      <w:r w:rsidR="002F58BE" w:rsidRPr="002622FC">
        <w:rPr>
          <w:rFonts w:asciiTheme="minorEastAsia" w:hAnsiTheme="minorEastAsia" w:hint="eastAsia"/>
          <w:sz w:val="24"/>
          <w:szCs w:val="24"/>
        </w:rPr>
        <w:t>400-</w:t>
      </w:r>
      <w:r w:rsidR="005E1F17">
        <w:rPr>
          <w:rFonts w:asciiTheme="minorEastAsia" w:hAnsiTheme="minorEastAsia"/>
          <w:sz w:val="24"/>
          <w:szCs w:val="24"/>
        </w:rPr>
        <w:t>619</w:t>
      </w:r>
      <w:r w:rsidR="002F58BE" w:rsidRPr="002622FC">
        <w:rPr>
          <w:rFonts w:asciiTheme="minorEastAsia" w:hAnsiTheme="minorEastAsia" w:hint="eastAsia"/>
          <w:sz w:val="24"/>
          <w:szCs w:val="24"/>
        </w:rPr>
        <w:t>-</w:t>
      </w:r>
      <w:r w:rsidR="005E1F17">
        <w:rPr>
          <w:rFonts w:asciiTheme="minorEastAsia" w:hAnsiTheme="minorEastAsia"/>
          <w:sz w:val="24"/>
          <w:szCs w:val="24"/>
        </w:rPr>
        <w:t>9059</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7A3E36">
        <w:rPr>
          <w:rFonts w:asciiTheme="minorEastAsia" w:hAnsiTheme="minorEastAsia"/>
          <w:sz w:val="24"/>
          <w:szCs w:val="24"/>
        </w:rPr>
        <w:t>9</w:t>
      </w:r>
      <w:r w:rsidR="006E60AA">
        <w:rPr>
          <w:rFonts w:asciiTheme="minorEastAsia" w:hAnsiTheme="minorEastAsia" w:hint="eastAsia"/>
          <w:sz w:val="24"/>
          <w:szCs w:val="24"/>
        </w:rPr>
        <w:t>月</w:t>
      </w:r>
      <w:r w:rsidR="007A3E36">
        <w:rPr>
          <w:rFonts w:asciiTheme="minorEastAsia" w:hAnsiTheme="minorEastAsia"/>
          <w:sz w:val="24"/>
          <w:szCs w:val="24"/>
        </w:rPr>
        <w:t>1</w:t>
      </w:r>
      <w:r w:rsidR="007E45CA">
        <w:rPr>
          <w:rFonts w:asciiTheme="minorEastAsia" w:hAnsiTheme="minorEastAsia"/>
          <w:sz w:val="24"/>
          <w:szCs w:val="24"/>
        </w:rPr>
        <w:t>2</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1E" w:rsidRDefault="0008631E" w:rsidP="00814637">
      <w:r>
        <w:separator/>
      </w:r>
    </w:p>
  </w:endnote>
  <w:endnote w:type="continuationSeparator" w:id="0">
    <w:p w:rsidR="0008631E" w:rsidRDefault="0008631E"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1E" w:rsidRDefault="0008631E" w:rsidP="00814637">
      <w:r>
        <w:separator/>
      </w:r>
    </w:p>
  </w:footnote>
  <w:footnote w:type="continuationSeparator" w:id="0">
    <w:p w:rsidR="0008631E" w:rsidRDefault="0008631E"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03E7E"/>
    <w:rsid w:val="00017E09"/>
    <w:rsid w:val="00033AC4"/>
    <w:rsid w:val="0003521B"/>
    <w:rsid w:val="00052EF4"/>
    <w:rsid w:val="00073438"/>
    <w:rsid w:val="0008631E"/>
    <w:rsid w:val="000872F9"/>
    <w:rsid w:val="000A43F7"/>
    <w:rsid w:val="000A6567"/>
    <w:rsid w:val="000C3CDA"/>
    <w:rsid w:val="000C5DA3"/>
    <w:rsid w:val="000C79C7"/>
    <w:rsid w:val="000D45B5"/>
    <w:rsid w:val="001001D0"/>
    <w:rsid w:val="00122899"/>
    <w:rsid w:val="00124811"/>
    <w:rsid w:val="00165159"/>
    <w:rsid w:val="00174146"/>
    <w:rsid w:val="00191068"/>
    <w:rsid w:val="00194FF0"/>
    <w:rsid w:val="001A0A7B"/>
    <w:rsid w:val="001A5B8F"/>
    <w:rsid w:val="001A785D"/>
    <w:rsid w:val="001B3B0B"/>
    <w:rsid w:val="001E2FEF"/>
    <w:rsid w:val="001E75A7"/>
    <w:rsid w:val="001F353C"/>
    <w:rsid w:val="00203266"/>
    <w:rsid w:val="00226FDA"/>
    <w:rsid w:val="00250C92"/>
    <w:rsid w:val="00260158"/>
    <w:rsid w:val="002622FC"/>
    <w:rsid w:val="0029303A"/>
    <w:rsid w:val="00296ACB"/>
    <w:rsid w:val="002D09EF"/>
    <w:rsid w:val="002D71BF"/>
    <w:rsid w:val="002E5990"/>
    <w:rsid w:val="002F58BE"/>
    <w:rsid w:val="002F6F87"/>
    <w:rsid w:val="00310C38"/>
    <w:rsid w:val="00320402"/>
    <w:rsid w:val="003219CD"/>
    <w:rsid w:val="00324C66"/>
    <w:rsid w:val="00334672"/>
    <w:rsid w:val="00336A70"/>
    <w:rsid w:val="003400B3"/>
    <w:rsid w:val="003A5500"/>
    <w:rsid w:val="003A5DEC"/>
    <w:rsid w:val="003D47CD"/>
    <w:rsid w:val="003D63ED"/>
    <w:rsid w:val="004332E7"/>
    <w:rsid w:val="004403B8"/>
    <w:rsid w:val="00447E32"/>
    <w:rsid w:val="00465A43"/>
    <w:rsid w:val="004949C0"/>
    <w:rsid w:val="00496176"/>
    <w:rsid w:val="004964E2"/>
    <w:rsid w:val="004A6F77"/>
    <w:rsid w:val="004B743F"/>
    <w:rsid w:val="004C2521"/>
    <w:rsid w:val="004C7FCD"/>
    <w:rsid w:val="0050272A"/>
    <w:rsid w:val="00507FBD"/>
    <w:rsid w:val="00514D4A"/>
    <w:rsid w:val="005430E8"/>
    <w:rsid w:val="0055045B"/>
    <w:rsid w:val="00557FA6"/>
    <w:rsid w:val="00576F47"/>
    <w:rsid w:val="00593342"/>
    <w:rsid w:val="005A0DDF"/>
    <w:rsid w:val="005B60E9"/>
    <w:rsid w:val="005E1F17"/>
    <w:rsid w:val="005F1C01"/>
    <w:rsid w:val="00602B56"/>
    <w:rsid w:val="00606A9A"/>
    <w:rsid w:val="006153FE"/>
    <w:rsid w:val="006235B7"/>
    <w:rsid w:val="00627BF1"/>
    <w:rsid w:val="006407E6"/>
    <w:rsid w:val="0065006A"/>
    <w:rsid w:val="00661A3A"/>
    <w:rsid w:val="00661B56"/>
    <w:rsid w:val="006A361E"/>
    <w:rsid w:val="006A6E5E"/>
    <w:rsid w:val="006B593C"/>
    <w:rsid w:val="006C19B5"/>
    <w:rsid w:val="006C2289"/>
    <w:rsid w:val="006C724C"/>
    <w:rsid w:val="006E6007"/>
    <w:rsid w:val="006E60AA"/>
    <w:rsid w:val="006E75BB"/>
    <w:rsid w:val="006F2333"/>
    <w:rsid w:val="006F3BB0"/>
    <w:rsid w:val="00704A2E"/>
    <w:rsid w:val="00705C8C"/>
    <w:rsid w:val="00706F53"/>
    <w:rsid w:val="00723462"/>
    <w:rsid w:val="00742F7B"/>
    <w:rsid w:val="0074326E"/>
    <w:rsid w:val="00755012"/>
    <w:rsid w:val="00765342"/>
    <w:rsid w:val="007708A5"/>
    <w:rsid w:val="007758C3"/>
    <w:rsid w:val="007A3E36"/>
    <w:rsid w:val="007B5D34"/>
    <w:rsid w:val="007C6CB7"/>
    <w:rsid w:val="007D1C08"/>
    <w:rsid w:val="007E09F5"/>
    <w:rsid w:val="007E45CA"/>
    <w:rsid w:val="00814637"/>
    <w:rsid w:val="00842CFA"/>
    <w:rsid w:val="00850707"/>
    <w:rsid w:val="0086464C"/>
    <w:rsid w:val="00874457"/>
    <w:rsid w:val="00894FBB"/>
    <w:rsid w:val="008B3131"/>
    <w:rsid w:val="008C100B"/>
    <w:rsid w:val="008C27DA"/>
    <w:rsid w:val="008C7550"/>
    <w:rsid w:val="008D4AB7"/>
    <w:rsid w:val="008D7650"/>
    <w:rsid w:val="009130DA"/>
    <w:rsid w:val="00915AF8"/>
    <w:rsid w:val="0093211B"/>
    <w:rsid w:val="009517AE"/>
    <w:rsid w:val="00960700"/>
    <w:rsid w:val="009664DD"/>
    <w:rsid w:val="009857A8"/>
    <w:rsid w:val="00987988"/>
    <w:rsid w:val="00987B1A"/>
    <w:rsid w:val="009B2C4B"/>
    <w:rsid w:val="009D286D"/>
    <w:rsid w:val="009D413B"/>
    <w:rsid w:val="009F764C"/>
    <w:rsid w:val="00A04F11"/>
    <w:rsid w:val="00A06B3E"/>
    <w:rsid w:val="00A12E18"/>
    <w:rsid w:val="00A1535E"/>
    <w:rsid w:val="00A17B9A"/>
    <w:rsid w:val="00A239A0"/>
    <w:rsid w:val="00A42A8F"/>
    <w:rsid w:val="00A43DA0"/>
    <w:rsid w:val="00A71D8A"/>
    <w:rsid w:val="00A83E3C"/>
    <w:rsid w:val="00A914E3"/>
    <w:rsid w:val="00AA0175"/>
    <w:rsid w:val="00AA0F07"/>
    <w:rsid w:val="00AA676A"/>
    <w:rsid w:val="00AB121D"/>
    <w:rsid w:val="00AB3877"/>
    <w:rsid w:val="00AC7EC4"/>
    <w:rsid w:val="00B07DEB"/>
    <w:rsid w:val="00B43230"/>
    <w:rsid w:val="00B57BF9"/>
    <w:rsid w:val="00B64567"/>
    <w:rsid w:val="00B80576"/>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29B2"/>
    <w:rsid w:val="00CA5FDA"/>
    <w:rsid w:val="00CC6BFE"/>
    <w:rsid w:val="00CD1A17"/>
    <w:rsid w:val="00CD20CC"/>
    <w:rsid w:val="00CE25C1"/>
    <w:rsid w:val="00CF1A45"/>
    <w:rsid w:val="00D17DBF"/>
    <w:rsid w:val="00D34A66"/>
    <w:rsid w:val="00D63EA7"/>
    <w:rsid w:val="00D70BAA"/>
    <w:rsid w:val="00D86E62"/>
    <w:rsid w:val="00D95657"/>
    <w:rsid w:val="00D9751D"/>
    <w:rsid w:val="00DA1C1B"/>
    <w:rsid w:val="00DA35A9"/>
    <w:rsid w:val="00DA6299"/>
    <w:rsid w:val="00DE38C7"/>
    <w:rsid w:val="00DE500A"/>
    <w:rsid w:val="00E1045C"/>
    <w:rsid w:val="00E15BA5"/>
    <w:rsid w:val="00E173F4"/>
    <w:rsid w:val="00E31154"/>
    <w:rsid w:val="00E541FF"/>
    <w:rsid w:val="00E716D7"/>
    <w:rsid w:val="00E8002E"/>
    <w:rsid w:val="00E94941"/>
    <w:rsid w:val="00EA7D63"/>
    <w:rsid w:val="00EC19AA"/>
    <w:rsid w:val="00EE1C9A"/>
    <w:rsid w:val="00EE53DA"/>
    <w:rsid w:val="00EE6125"/>
    <w:rsid w:val="00EE6B3F"/>
    <w:rsid w:val="00F06E26"/>
    <w:rsid w:val="00F328BB"/>
    <w:rsid w:val="00F33363"/>
    <w:rsid w:val="00F6656E"/>
    <w:rsid w:val="00F93826"/>
    <w:rsid w:val="00F96D60"/>
    <w:rsid w:val="00FD4FFF"/>
    <w:rsid w:val="00FD5DB5"/>
    <w:rsid w:val="00FD721C"/>
    <w:rsid w:val="00FE7D2A"/>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2733642">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794589396">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0080-A352-483B-953D-086D5BEB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4</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2020-09-11T16:00:00Z</dcterms:created>
  <dcterms:modified xsi:type="dcterms:W3CDTF">2020-09-11T16:00:00Z</dcterms:modified>
</cp:coreProperties>
</file>