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4" w:rsidRPr="00D13A95" w:rsidRDefault="00BB52C4" w:rsidP="00D13A95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/>
          <w:b/>
          <w:color w:val="000000"/>
          <w:kern w:val="36"/>
          <w:sz w:val="24"/>
          <w:szCs w:val="24"/>
        </w:rPr>
      </w:pPr>
      <w:r w:rsidRPr="00D13A95">
        <w:rPr>
          <w:rFonts w:ascii="宋体" w:eastAsia="宋体" w:hAnsi="宋体" w:hint="eastAsia"/>
          <w:b/>
          <w:color w:val="000000"/>
          <w:kern w:val="36"/>
          <w:sz w:val="24"/>
          <w:szCs w:val="24"/>
        </w:rPr>
        <w:t>浦银安盛基金管理有限公司</w:t>
      </w:r>
    </w:p>
    <w:p w:rsidR="00BB52C4" w:rsidRPr="00D13A95" w:rsidRDefault="00BB52C4" w:rsidP="00D13A95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D13A95">
        <w:rPr>
          <w:rFonts w:ascii="宋体" w:eastAsia="宋体" w:hAnsi="宋体" w:hint="eastAsia"/>
          <w:b/>
          <w:color w:val="000000"/>
          <w:kern w:val="36"/>
          <w:sz w:val="24"/>
          <w:szCs w:val="24"/>
        </w:rPr>
        <w:t>关于调整长期停牌股票估值方法的公告</w:t>
      </w:r>
    </w:p>
    <w:p w:rsidR="00082E55" w:rsidRDefault="00E268D9" w:rsidP="00C3600C">
      <w:pPr>
        <w:widowControl/>
        <w:spacing w:before="345" w:after="100" w:afterAutospacing="1" w:line="432" w:lineRule="auto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根据中国证券监督管理委员会</w:t>
      </w:r>
      <w:r w:rsidRPr="00C35CA7">
        <w:rPr>
          <w:rFonts w:ascii="宋体" w:eastAsia="宋体" w:hAnsi="宋体" w:cs="宋体" w:hint="eastAsia"/>
          <w:color w:val="333333"/>
          <w:kern w:val="0"/>
          <w:szCs w:val="21"/>
        </w:rPr>
        <w:t>《关于证券投资基金估值业务的指导意见》（中国证券监督管理委员会公告[2017]13号）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以及浦银安盛基金管理有限公司（以下简称“本公司”）关于</w:t>
      </w:r>
      <w:r w:rsidRPr="00AD67E6">
        <w:rPr>
          <w:rFonts w:ascii="宋体" w:eastAsia="宋体" w:hAnsi="宋体" w:cs="宋体" w:hint="eastAsia"/>
          <w:color w:val="333333"/>
          <w:kern w:val="0"/>
          <w:szCs w:val="21"/>
        </w:rPr>
        <w:t>调整</w:t>
      </w:r>
      <w:r w:rsidRPr="00AD67E6">
        <w:rPr>
          <w:rFonts w:ascii="宋体" w:eastAsia="宋体" w:hAnsi="宋体" w:cs="宋体"/>
          <w:color w:val="333333"/>
          <w:kern w:val="0"/>
          <w:szCs w:val="21"/>
        </w:rPr>
        <w:t>停牌</w:t>
      </w:r>
      <w:r w:rsidRPr="00AD67E6">
        <w:rPr>
          <w:rFonts w:ascii="宋体" w:eastAsia="宋体" w:hAnsi="宋体" w:cs="宋体" w:hint="eastAsia"/>
          <w:color w:val="333333"/>
          <w:kern w:val="0"/>
          <w:szCs w:val="21"/>
        </w:rPr>
        <w:t>股票</w:t>
      </w:r>
      <w:r w:rsidRPr="003E3F78">
        <w:rPr>
          <w:rFonts w:ascii="宋体" w:eastAsia="宋体" w:hAnsi="宋体" w:cs="宋体" w:hint="eastAsia"/>
          <w:color w:val="333333"/>
          <w:kern w:val="0"/>
          <w:szCs w:val="21"/>
        </w:rPr>
        <w:t>的估值政策和程序的相关规定，</w:t>
      </w:r>
      <w:r w:rsidRPr="00A46A58">
        <w:rPr>
          <w:rFonts w:ascii="宋体" w:eastAsia="宋体" w:hAnsi="宋体" w:cs="宋体" w:hint="eastAsia"/>
          <w:color w:val="333333"/>
          <w:kern w:val="0"/>
          <w:szCs w:val="21"/>
        </w:rPr>
        <w:t>经与相关托管</w:t>
      </w:r>
      <w:hyperlink r:id="rId6" w:tgtFrame="_blank" w:history="1">
        <w:r w:rsidRPr="00A46A58">
          <w:rPr>
            <w:rFonts w:ascii="宋体" w:eastAsia="宋体" w:hAnsi="宋体" w:cs="宋体" w:hint="eastAsia"/>
            <w:color w:val="333333"/>
            <w:kern w:val="0"/>
            <w:szCs w:val="21"/>
          </w:rPr>
          <w:t>银行</w:t>
        </w:r>
      </w:hyperlink>
      <w:r w:rsidRPr="00A46A58">
        <w:rPr>
          <w:rFonts w:ascii="宋体" w:eastAsia="宋体" w:hAnsi="宋体" w:cs="宋体" w:hint="eastAsia"/>
          <w:color w:val="333333"/>
          <w:kern w:val="0"/>
          <w:szCs w:val="21"/>
        </w:rPr>
        <w:t>商定，</w:t>
      </w:r>
      <w:r w:rsidR="003E3F78" w:rsidRPr="003E3F78">
        <w:rPr>
          <w:rFonts w:ascii="宋体" w:eastAsia="宋体" w:hAnsi="宋体" w:cs="宋体" w:hint="eastAsia"/>
          <w:color w:val="333333"/>
          <w:kern w:val="0"/>
          <w:szCs w:val="21"/>
        </w:rPr>
        <w:t>本公司</w:t>
      </w:r>
      <w:r w:rsidR="00CD1BE7">
        <w:rPr>
          <w:rFonts w:ascii="宋体" w:eastAsia="宋体" w:hAnsi="宋体" w:cs="宋体" w:hint="eastAsia"/>
          <w:color w:val="333333"/>
          <w:kern w:val="0"/>
          <w:szCs w:val="21"/>
        </w:rPr>
        <w:t>决定</w:t>
      </w:r>
      <w:r w:rsidR="003E3F78" w:rsidRPr="003E3F78">
        <w:rPr>
          <w:rFonts w:ascii="宋体" w:eastAsia="宋体" w:hAnsi="宋体" w:cs="宋体" w:hint="eastAsia"/>
          <w:color w:val="333333"/>
          <w:kern w:val="0"/>
          <w:szCs w:val="21"/>
        </w:rPr>
        <w:t>自20</w:t>
      </w:r>
      <w:r w:rsidR="00752E7E">
        <w:rPr>
          <w:rFonts w:ascii="宋体" w:eastAsia="宋体" w:hAnsi="宋体" w:cs="宋体" w:hint="eastAsia"/>
          <w:color w:val="333333"/>
          <w:kern w:val="0"/>
          <w:szCs w:val="21"/>
        </w:rPr>
        <w:t>20</w:t>
      </w:r>
      <w:r w:rsidR="003E3F78" w:rsidRPr="003E3F78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="00752E7E">
        <w:rPr>
          <w:rFonts w:ascii="宋体" w:eastAsia="宋体" w:hAnsi="宋体" w:cs="宋体" w:hint="eastAsia"/>
          <w:color w:val="333333"/>
          <w:kern w:val="0"/>
          <w:szCs w:val="21"/>
        </w:rPr>
        <w:t>09</w:t>
      </w:r>
      <w:r w:rsidR="003E3F78" w:rsidRPr="003E3F78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4768F0">
        <w:rPr>
          <w:rFonts w:ascii="宋体" w:eastAsia="宋体" w:hAnsi="宋体" w:cs="宋体" w:hint="eastAsia"/>
          <w:color w:val="333333"/>
          <w:kern w:val="0"/>
          <w:szCs w:val="21"/>
        </w:rPr>
        <w:t>1</w:t>
      </w:r>
      <w:r w:rsidR="00752E7E">
        <w:rPr>
          <w:rFonts w:ascii="宋体" w:eastAsia="宋体" w:hAnsi="宋体" w:cs="宋体" w:hint="eastAsia"/>
          <w:color w:val="333333"/>
          <w:kern w:val="0"/>
          <w:szCs w:val="21"/>
        </w:rPr>
        <w:t>0</w:t>
      </w:r>
      <w:r w:rsidR="003E3F78" w:rsidRPr="003E3F78">
        <w:rPr>
          <w:rFonts w:ascii="宋体" w:eastAsia="宋体" w:hAnsi="宋体" w:cs="宋体" w:hint="eastAsia"/>
          <w:color w:val="333333"/>
          <w:kern w:val="0"/>
          <w:szCs w:val="21"/>
        </w:rPr>
        <w:t>日起对旗</w:t>
      </w:r>
      <w:r w:rsidR="003E3F78" w:rsidRPr="007C798B">
        <w:rPr>
          <w:rFonts w:ascii="宋体" w:eastAsia="宋体" w:hAnsi="宋体" w:cs="宋体" w:hint="eastAsia"/>
          <w:color w:val="333333"/>
          <w:kern w:val="0"/>
          <w:szCs w:val="21"/>
        </w:rPr>
        <w:t>下</w:t>
      </w:r>
      <w:r w:rsidR="00752E7E">
        <w:rPr>
          <w:rFonts w:ascii="宋体" w:eastAsia="宋体" w:hAnsi="宋体" w:cs="宋体" w:hint="eastAsia"/>
          <w:color w:val="333333"/>
          <w:kern w:val="0"/>
          <w:szCs w:val="21"/>
        </w:rPr>
        <w:t>五</w:t>
      </w:r>
      <w:r w:rsidR="00C3600C" w:rsidRPr="007C798B">
        <w:rPr>
          <w:rFonts w:ascii="宋体" w:eastAsia="宋体" w:hAnsi="宋体" w:cs="宋体" w:hint="eastAsia"/>
          <w:color w:val="333333"/>
          <w:kern w:val="0"/>
          <w:szCs w:val="21"/>
        </w:rPr>
        <w:t>只</w:t>
      </w:r>
      <w:r w:rsidR="00C3600C" w:rsidRPr="00A46A58">
        <w:rPr>
          <w:rFonts w:ascii="宋体" w:eastAsia="宋体" w:hAnsi="宋体" w:cs="宋体" w:hint="eastAsia"/>
          <w:color w:val="333333"/>
          <w:kern w:val="0"/>
          <w:szCs w:val="21"/>
        </w:rPr>
        <w:t>基金</w:t>
      </w:r>
      <w:r w:rsidR="003E3F78" w:rsidRPr="003E3F78">
        <w:rPr>
          <w:rFonts w:ascii="宋体" w:eastAsia="宋体" w:hAnsi="宋体" w:cs="宋体" w:hint="eastAsia"/>
          <w:color w:val="333333"/>
          <w:kern w:val="0"/>
          <w:szCs w:val="21"/>
        </w:rPr>
        <w:t>持有的</w:t>
      </w:r>
      <w:r w:rsidR="002B7CFE">
        <w:rPr>
          <w:rFonts w:ascii="宋体" w:eastAsia="宋体" w:hAnsi="宋体" w:cs="宋体" w:hint="eastAsia"/>
          <w:color w:val="333333"/>
          <w:kern w:val="0"/>
          <w:szCs w:val="21"/>
        </w:rPr>
        <w:t>长期</w:t>
      </w:r>
      <w:r w:rsidR="00BB52C4">
        <w:rPr>
          <w:rFonts w:ascii="宋体" w:eastAsia="宋体" w:hAnsi="宋体" w:cs="宋体" w:hint="eastAsia"/>
          <w:color w:val="333333"/>
          <w:kern w:val="0"/>
          <w:szCs w:val="21"/>
        </w:rPr>
        <w:t>停牌股票</w:t>
      </w:r>
      <w:r w:rsidR="004E264C" w:rsidRPr="004E264C">
        <w:rPr>
          <w:rFonts w:ascii="宋体" w:eastAsia="宋体" w:hAnsi="宋体" w:cs="宋体" w:hint="eastAsia"/>
          <w:color w:val="333333"/>
          <w:kern w:val="0"/>
          <w:szCs w:val="21"/>
        </w:rPr>
        <w:t>富春股份（股票代码：300299）</w:t>
      </w:r>
      <w:r w:rsidR="00735C10"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="00BB52C4" w:rsidRPr="003E3F78">
        <w:rPr>
          <w:rFonts w:ascii="宋体" w:eastAsia="宋体" w:hAnsi="宋体" w:cs="宋体" w:hint="eastAsia"/>
          <w:color w:val="333333"/>
          <w:kern w:val="0"/>
          <w:szCs w:val="21"/>
        </w:rPr>
        <w:t>采用指数收益法</w:t>
      </w:r>
      <w:r w:rsidR="00BB52C4">
        <w:rPr>
          <w:rFonts w:ascii="宋体" w:eastAsia="宋体" w:hAnsi="宋体" w:cs="宋体" w:hint="eastAsia"/>
          <w:color w:val="333333"/>
          <w:kern w:val="0"/>
          <w:szCs w:val="21"/>
        </w:rPr>
        <w:t>进行估值。</w:t>
      </w:r>
      <w:r w:rsidR="003E3F78" w:rsidRPr="003E3F78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</w:p>
    <w:p w:rsidR="0092458C" w:rsidRPr="00082E55" w:rsidRDefault="00082E55" w:rsidP="00082E55">
      <w:pPr>
        <w:widowControl/>
        <w:spacing w:before="345" w:after="100" w:afterAutospacing="1" w:line="432" w:lineRule="auto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>本基金管理人将在该股票复牌且其交易体现活跃市场交易特征后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>对其恢复收盘价估值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，</w:t>
      </w:r>
      <w:r w:rsidRPr="00082E55">
        <w:rPr>
          <w:rFonts w:ascii="宋体" w:eastAsia="宋体" w:hAnsi="宋体" w:cs="宋体" w:hint="eastAsia"/>
          <w:color w:val="333333"/>
          <w:kern w:val="0"/>
          <w:szCs w:val="21"/>
        </w:rPr>
        <w:t>届时不再另行公告。</w:t>
      </w:r>
    </w:p>
    <w:p w:rsidR="0092458C" w:rsidRDefault="0092458C" w:rsidP="00D13A95">
      <w:pPr>
        <w:widowControl/>
        <w:spacing w:before="100" w:beforeAutospacing="1" w:after="435" w:line="42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52C4">
        <w:rPr>
          <w:rFonts w:ascii="宋体" w:eastAsia="宋体" w:hAnsi="宋体" w:cs="宋体" w:hint="eastAsia"/>
          <w:color w:val="333333"/>
          <w:kern w:val="0"/>
          <w:szCs w:val="21"/>
        </w:rPr>
        <w:t>特此公告。</w:t>
      </w:r>
    </w:p>
    <w:p w:rsidR="00D13A95" w:rsidRPr="0092458C" w:rsidRDefault="00D13A95" w:rsidP="00D13A95">
      <w:pPr>
        <w:widowControl/>
        <w:spacing w:before="100" w:beforeAutospacing="1" w:after="435" w:line="4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3E3F78" w:rsidRPr="00D13A95" w:rsidRDefault="003E3F78" w:rsidP="00D13A95">
      <w:pPr>
        <w:spacing w:line="500" w:lineRule="exact"/>
        <w:ind w:firstLine="1050"/>
        <w:jc w:val="right"/>
        <w:rPr>
          <w:rFonts w:ascii="宋体" w:eastAsia="宋体" w:hAnsi="宋体" w:cs="宋体"/>
          <w:szCs w:val="21"/>
        </w:rPr>
      </w:pPr>
      <w:r w:rsidRPr="00D13A95">
        <w:rPr>
          <w:rFonts w:ascii="宋体" w:eastAsia="宋体" w:hAnsi="宋体" w:cs="宋体" w:hint="eastAsia"/>
          <w:szCs w:val="21"/>
        </w:rPr>
        <w:t xml:space="preserve">浦银安盛基金管理有限公司 </w:t>
      </w:r>
    </w:p>
    <w:p w:rsidR="003E3F78" w:rsidRPr="00D13A95" w:rsidRDefault="003E3F78" w:rsidP="00D13A95">
      <w:pPr>
        <w:spacing w:line="500" w:lineRule="exact"/>
        <w:ind w:firstLine="1050"/>
        <w:jc w:val="right"/>
        <w:rPr>
          <w:rFonts w:ascii="宋体" w:eastAsia="宋体" w:hAnsi="宋体" w:cs="宋体"/>
          <w:szCs w:val="21"/>
        </w:rPr>
      </w:pPr>
      <w:r w:rsidRPr="00D13A95">
        <w:rPr>
          <w:rFonts w:ascii="宋体" w:eastAsia="宋体" w:hAnsi="宋体" w:cs="宋体" w:hint="eastAsia"/>
          <w:szCs w:val="21"/>
        </w:rPr>
        <w:t>20</w:t>
      </w:r>
      <w:r w:rsidR="00752E7E" w:rsidRPr="00D13A95">
        <w:rPr>
          <w:rFonts w:ascii="宋体" w:eastAsia="宋体" w:hAnsi="宋体" w:cs="宋体" w:hint="eastAsia"/>
          <w:szCs w:val="21"/>
        </w:rPr>
        <w:t>20</w:t>
      </w:r>
      <w:r w:rsidRPr="00D13A95">
        <w:rPr>
          <w:rFonts w:ascii="宋体" w:eastAsia="宋体" w:hAnsi="宋体" w:cs="宋体" w:hint="eastAsia"/>
          <w:szCs w:val="21"/>
        </w:rPr>
        <w:t>年</w:t>
      </w:r>
      <w:r w:rsidR="00E54A91" w:rsidRPr="00D13A95">
        <w:rPr>
          <w:rFonts w:ascii="宋体" w:eastAsia="宋体" w:hAnsi="宋体" w:cs="宋体" w:hint="eastAsia"/>
          <w:szCs w:val="21"/>
        </w:rPr>
        <w:t>0</w:t>
      </w:r>
      <w:r w:rsidR="00752E7E" w:rsidRPr="00D13A95">
        <w:rPr>
          <w:rFonts w:ascii="宋体" w:eastAsia="宋体" w:hAnsi="宋体" w:cs="宋体" w:hint="eastAsia"/>
          <w:szCs w:val="21"/>
        </w:rPr>
        <w:t>9</w:t>
      </w:r>
      <w:r w:rsidRPr="00D13A95">
        <w:rPr>
          <w:rFonts w:ascii="宋体" w:eastAsia="宋体" w:hAnsi="宋体" w:cs="宋体" w:hint="eastAsia"/>
          <w:szCs w:val="21"/>
        </w:rPr>
        <w:t>月</w:t>
      </w:r>
      <w:r w:rsidR="004768F0" w:rsidRPr="00D13A95">
        <w:rPr>
          <w:rFonts w:ascii="宋体" w:eastAsia="宋体" w:hAnsi="宋体" w:cs="宋体" w:hint="eastAsia"/>
          <w:szCs w:val="21"/>
        </w:rPr>
        <w:t>1</w:t>
      </w:r>
      <w:r w:rsidR="00752E7E" w:rsidRPr="00D13A95">
        <w:rPr>
          <w:rFonts w:ascii="宋体" w:eastAsia="宋体" w:hAnsi="宋体" w:cs="宋体" w:hint="eastAsia"/>
          <w:szCs w:val="21"/>
        </w:rPr>
        <w:t>1</w:t>
      </w:r>
      <w:r w:rsidR="00DF279C" w:rsidRPr="00D13A95">
        <w:rPr>
          <w:rFonts w:ascii="宋体" w:eastAsia="宋体" w:hAnsi="宋体" w:cs="宋体" w:hint="eastAsia"/>
          <w:szCs w:val="21"/>
        </w:rPr>
        <w:t>日</w:t>
      </w:r>
    </w:p>
    <w:p w:rsidR="00BD58A7" w:rsidRDefault="00BD58A7"/>
    <w:sectPr w:rsidR="00BD58A7" w:rsidSect="00BD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62" w:rsidRDefault="00F13B62" w:rsidP="003E3F78">
      <w:r>
        <w:separator/>
      </w:r>
    </w:p>
  </w:endnote>
  <w:endnote w:type="continuationSeparator" w:id="0">
    <w:p w:rsidR="00F13B62" w:rsidRDefault="00F13B62" w:rsidP="003E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62" w:rsidRDefault="00F13B62" w:rsidP="003E3F78">
      <w:r>
        <w:separator/>
      </w:r>
    </w:p>
  </w:footnote>
  <w:footnote w:type="continuationSeparator" w:id="0">
    <w:p w:rsidR="00F13B62" w:rsidRDefault="00F13B62" w:rsidP="003E3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F78"/>
    <w:rsid w:val="00023771"/>
    <w:rsid w:val="0003036D"/>
    <w:rsid w:val="00030E6E"/>
    <w:rsid w:val="0004292C"/>
    <w:rsid w:val="0004328A"/>
    <w:rsid w:val="00060B5A"/>
    <w:rsid w:val="00080AE0"/>
    <w:rsid w:val="000825FA"/>
    <w:rsid w:val="00082E55"/>
    <w:rsid w:val="000900FA"/>
    <w:rsid w:val="00090DDA"/>
    <w:rsid w:val="00095292"/>
    <w:rsid w:val="000A15CA"/>
    <w:rsid w:val="000B413D"/>
    <w:rsid w:val="000C30A2"/>
    <w:rsid w:val="000D54BA"/>
    <w:rsid w:val="001223CC"/>
    <w:rsid w:val="001304A9"/>
    <w:rsid w:val="00132BFC"/>
    <w:rsid w:val="0013366C"/>
    <w:rsid w:val="00134819"/>
    <w:rsid w:val="00134C23"/>
    <w:rsid w:val="00173A15"/>
    <w:rsid w:val="00181566"/>
    <w:rsid w:val="00197339"/>
    <w:rsid w:val="001B0D1E"/>
    <w:rsid w:val="001B2CB1"/>
    <w:rsid w:val="001B4616"/>
    <w:rsid w:val="001B6FF6"/>
    <w:rsid w:val="001C0F6C"/>
    <w:rsid w:val="001C6FAA"/>
    <w:rsid w:val="001D1D07"/>
    <w:rsid w:val="001D4ADD"/>
    <w:rsid w:val="001E7973"/>
    <w:rsid w:val="001E7974"/>
    <w:rsid w:val="00243F6B"/>
    <w:rsid w:val="00256A0E"/>
    <w:rsid w:val="00256B1B"/>
    <w:rsid w:val="00261081"/>
    <w:rsid w:val="00265A2C"/>
    <w:rsid w:val="00280F76"/>
    <w:rsid w:val="0028362A"/>
    <w:rsid w:val="00296316"/>
    <w:rsid w:val="002A59C6"/>
    <w:rsid w:val="002B5E09"/>
    <w:rsid w:val="002B7CFE"/>
    <w:rsid w:val="002D0355"/>
    <w:rsid w:val="002D43F4"/>
    <w:rsid w:val="0030428F"/>
    <w:rsid w:val="003050D0"/>
    <w:rsid w:val="0030693B"/>
    <w:rsid w:val="00306E45"/>
    <w:rsid w:val="0031382A"/>
    <w:rsid w:val="00331B18"/>
    <w:rsid w:val="00333A10"/>
    <w:rsid w:val="0033564D"/>
    <w:rsid w:val="00342489"/>
    <w:rsid w:val="0036259C"/>
    <w:rsid w:val="003639DA"/>
    <w:rsid w:val="0036510B"/>
    <w:rsid w:val="00381646"/>
    <w:rsid w:val="00397866"/>
    <w:rsid w:val="003A29F2"/>
    <w:rsid w:val="003A4E7D"/>
    <w:rsid w:val="003B0358"/>
    <w:rsid w:val="003B2BAB"/>
    <w:rsid w:val="003B6F1D"/>
    <w:rsid w:val="003D6EB6"/>
    <w:rsid w:val="003E3F78"/>
    <w:rsid w:val="003F007A"/>
    <w:rsid w:val="003F629A"/>
    <w:rsid w:val="003F7995"/>
    <w:rsid w:val="0041140B"/>
    <w:rsid w:val="00412664"/>
    <w:rsid w:val="0041780F"/>
    <w:rsid w:val="00422C19"/>
    <w:rsid w:val="00452DCB"/>
    <w:rsid w:val="00462F6C"/>
    <w:rsid w:val="00465B11"/>
    <w:rsid w:val="00467578"/>
    <w:rsid w:val="004768F0"/>
    <w:rsid w:val="00480ECE"/>
    <w:rsid w:val="00493C50"/>
    <w:rsid w:val="00494752"/>
    <w:rsid w:val="00496928"/>
    <w:rsid w:val="004A5A6D"/>
    <w:rsid w:val="004B4F88"/>
    <w:rsid w:val="004B5175"/>
    <w:rsid w:val="004C3D80"/>
    <w:rsid w:val="004E264C"/>
    <w:rsid w:val="004F1EA7"/>
    <w:rsid w:val="00512552"/>
    <w:rsid w:val="0051766E"/>
    <w:rsid w:val="00524256"/>
    <w:rsid w:val="00545D11"/>
    <w:rsid w:val="005461C1"/>
    <w:rsid w:val="00555E38"/>
    <w:rsid w:val="0056286B"/>
    <w:rsid w:val="0056334D"/>
    <w:rsid w:val="00564770"/>
    <w:rsid w:val="005913E3"/>
    <w:rsid w:val="005942F7"/>
    <w:rsid w:val="005A1A08"/>
    <w:rsid w:val="005A4A87"/>
    <w:rsid w:val="005B2857"/>
    <w:rsid w:val="005C4EF6"/>
    <w:rsid w:val="005E2802"/>
    <w:rsid w:val="005E2D66"/>
    <w:rsid w:val="005E434A"/>
    <w:rsid w:val="005E5C99"/>
    <w:rsid w:val="006003BD"/>
    <w:rsid w:val="00603EB0"/>
    <w:rsid w:val="00610791"/>
    <w:rsid w:val="00631852"/>
    <w:rsid w:val="00633874"/>
    <w:rsid w:val="00676895"/>
    <w:rsid w:val="00676D6D"/>
    <w:rsid w:val="00684175"/>
    <w:rsid w:val="00686A8E"/>
    <w:rsid w:val="006A602B"/>
    <w:rsid w:val="006C70FE"/>
    <w:rsid w:val="006D354D"/>
    <w:rsid w:val="006D551E"/>
    <w:rsid w:val="006E305D"/>
    <w:rsid w:val="006E6AF6"/>
    <w:rsid w:val="006F4B2C"/>
    <w:rsid w:val="00714D53"/>
    <w:rsid w:val="00721E67"/>
    <w:rsid w:val="00731E1A"/>
    <w:rsid w:val="00735C10"/>
    <w:rsid w:val="00746324"/>
    <w:rsid w:val="00746A5A"/>
    <w:rsid w:val="00746F38"/>
    <w:rsid w:val="00752E7E"/>
    <w:rsid w:val="00753DD9"/>
    <w:rsid w:val="00761BA4"/>
    <w:rsid w:val="00766EF5"/>
    <w:rsid w:val="00783170"/>
    <w:rsid w:val="0078364D"/>
    <w:rsid w:val="00787A31"/>
    <w:rsid w:val="007C798B"/>
    <w:rsid w:val="007D3296"/>
    <w:rsid w:val="007F1F8C"/>
    <w:rsid w:val="0080344F"/>
    <w:rsid w:val="00810C0D"/>
    <w:rsid w:val="00816EC1"/>
    <w:rsid w:val="0082329F"/>
    <w:rsid w:val="00823FDA"/>
    <w:rsid w:val="00830A39"/>
    <w:rsid w:val="008325A0"/>
    <w:rsid w:val="00841EB2"/>
    <w:rsid w:val="008528E6"/>
    <w:rsid w:val="00854C33"/>
    <w:rsid w:val="00874B41"/>
    <w:rsid w:val="00885CC1"/>
    <w:rsid w:val="0089032B"/>
    <w:rsid w:val="008A016E"/>
    <w:rsid w:val="008A4E2B"/>
    <w:rsid w:val="008B1CF1"/>
    <w:rsid w:val="008C37B2"/>
    <w:rsid w:val="008F31D2"/>
    <w:rsid w:val="008F6488"/>
    <w:rsid w:val="0090372D"/>
    <w:rsid w:val="009067DC"/>
    <w:rsid w:val="009134CD"/>
    <w:rsid w:val="00914843"/>
    <w:rsid w:val="00914854"/>
    <w:rsid w:val="00920A6C"/>
    <w:rsid w:val="009223F8"/>
    <w:rsid w:val="0092458C"/>
    <w:rsid w:val="00924C04"/>
    <w:rsid w:val="00925014"/>
    <w:rsid w:val="00930AB1"/>
    <w:rsid w:val="0093339D"/>
    <w:rsid w:val="00937710"/>
    <w:rsid w:val="00942291"/>
    <w:rsid w:val="0094701B"/>
    <w:rsid w:val="00955CF6"/>
    <w:rsid w:val="00973DF3"/>
    <w:rsid w:val="00975FAF"/>
    <w:rsid w:val="0097789B"/>
    <w:rsid w:val="009A05A0"/>
    <w:rsid w:val="009B4505"/>
    <w:rsid w:val="009C3991"/>
    <w:rsid w:val="009C590E"/>
    <w:rsid w:val="009D3E72"/>
    <w:rsid w:val="009D48D6"/>
    <w:rsid w:val="009D5DB7"/>
    <w:rsid w:val="009F5623"/>
    <w:rsid w:val="009F5C91"/>
    <w:rsid w:val="009F670C"/>
    <w:rsid w:val="00A07403"/>
    <w:rsid w:val="00A111CE"/>
    <w:rsid w:val="00A17231"/>
    <w:rsid w:val="00A320B3"/>
    <w:rsid w:val="00A326F6"/>
    <w:rsid w:val="00A4352E"/>
    <w:rsid w:val="00A46A58"/>
    <w:rsid w:val="00A50521"/>
    <w:rsid w:val="00A6519D"/>
    <w:rsid w:val="00A71455"/>
    <w:rsid w:val="00A760BC"/>
    <w:rsid w:val="00A76536"/>
    <w:rsid w:val="00AB0F64"/>
    <w:rsid w:val="00AC17BF"/>
    <w:rsid w:val="00AC5D99"/>
    <w:rsid w:val="00AF3AEC"/>
    <w:rsid w:val="00B010B4"/>
    <w:rsid w:val="00B1552C"/>
    <w:rsid w:val="00B159CD"/>
    <w:rsid w:val="00B178E0"/>
    <w:rsid w:val="00B20080"/>
    <w:rsid w:val="00B21856"/>
    <w:rsid w:val="00B23CB6"/>
    <w:rsid w:val="00B333AF"/>
    <w:rsid w:val="00B80C07"/>
    <w:rsid w:val="00B8519E"/>
    <w:rsid w:val="00B96893"/>
    <w:rsid w:val="00BA4F6E"/>
    <w:rsid w:val="00BA622B"/>
    <w:rsid w:val="00BA7530"/>
    <w:rsid w:val="00BB52C4"/>
    <w:rsid w:val="00BD005C"/>
    <w:rsid w:val="00BD4596"/>
    <w:rsid w:val="00BD58A7"/>
    <w:rsid w:val="00BE4D45"/>
    <w:rsid w:val="00BE7B77"/>
    <w:rsid w:val="00BF1C61"/>
    <w:rsid w:val="00BF4653"/>
    <w:rsid w:val="00BF67E5"/>
    <w:rsid w:val="00C0018C"/>
    <w:rsid w:val="00C00880"/>
    <w:rsid w:val="00C1449E"/>
    <w:rsid w:val="00C25482"/>
    <w:rsid w:val="00C27AF2"/>
    <w:rsid w:val="00C35CA7"/>
    <w:rsid w:val="00C3600C"/>
    <w:rsid w:val="00C4331E"/>
    <w:rsid w:val="00C43E13"/>
    <w:rsid w:val="00C522B9"/>
    <w:rsid w:val="00C53CBE"/>
    <w:rsid w:val="00C77582"/>
    <w:rsid w:val="00C81F5D"/>
    <w:rsid w:val="00C9116B"/>
    <w:rsid w:val="00CA3E70"/>
    <w:rsid w:val="00CB0134"/>
    <w:rsid w:val="00CD1BE7"/>
    <w:rsid w:val="00CD5187"/>
    <w:rsid w:val="00CE3847"/>
    <w:rsid w:val="00CE65C2"/>
    <w:rsid w:val="00CF3B8F"/>
    <w:rsid w:val="00CF5F83"/>
    <w:rsid w:val="00D019EB"/>
    <w:rsid w:val="00D13581"/>
    <w:rsid w:val="00D13A95"/>
    <w:rsid w:val="00D14099"/>
    <w:rsid w:val="00D14875"/>
    <w:rsid w:val="00D15CF8"/>
    <w:rsid w:val="00D27CBF"/>
    <w:rsid w:val="00D301E1"/>
    <w:rsid w:val="00D34887"/>
    <w:rsid w:val="00D6187F"/>
    <w:rsid w:val="00D61AFA"/>
    <w:rsid w:val="00D70CB9"/>
    <w:rsid w:val="00D7109F"/>
    <w:rsid w:val="00D73721"/>
    <w:rsid w:val="00D82269"/>
    <w:rsid w:val="00D82A96"/>
    <w:rsid w:val="00DA58E3"/>
    <w:rsid w:val="00DC6A7A"/>
    <w:rsid w:val="00DC6BB8"/>
    <w:rsid w:val="00DE0EE7"/>
    <w:rsid w:val="00DE4D09"/>
    <w:rsid w:val="00DF279C"/>
    <w:rsid w:val="00E0637A"/>
    <w:rsid w:val="00E14E6F"/>
    <w:rsid w:val="00E21BDA"/>
    <w:rsid w:val="00E268D9"/>
    <w:rsid w:val="00E30CB3"/>
    <w:rsid w:val="00E3490C"/>
    <w:rsid w:val="00E4711C"/>
    <w:rsid w:val="00E52D10"/>
    <w:rsid w:val="00E54A91"/>
    <w:rsid w:val="00E56586"/>
    <w:rsid w:val="00E635E5"/>
    <w:rsid w:val="00E65A25"/>
    <w:rsid w:val="00E70B5D"/>
    <w:rsid w:val="00E80ED9"/>
    <w:rsid w:val="00E8492F"/>
    <w:rsid w:val="00E85112"/>
    <w:rsid w:val="00E85A78"/>
    <w:rsid w:val="00E920EE"/>
    <w:rsid w:val="00EA128B"/>
    <w:rsid w:val="00EA4B5D"/>
    <w:rsid w:val="00EA5E3F"/>
    <w:rsid w:val="00EA6308"/>
    <w:rsid w:val="00EC4E89"/>
    <w:rsid w:val="00EE2A3B"/>
    <w:rsid w:val="00F04DCD"/>
    <w:rsid w:val="00F05F34"/>
    <w:rsid w:val="00F13B62"/>
    <w:rsid w:val="00F230B2"/>
    <w:rsid w:val="00F26500"/>
    <w:rsid w:val="00F316C0"/>
    <w:rsid w:val="00F34779"/>
    <w:rsid w:val="00F46CAC"/>
    <w:rsid w:val="00F52BBE"/>
    <w:rsid w:val="00F55789"/>
    <w:rsid w:val="00F5705C"/>
    <w:rsid w:val="00F97DDE"/>
    <w:rsid w:val="00FA34DD"/>
    <w:rsid w:val="00FA62DD"/>
    <w:rsid w:val="00FD317A"/>
    <w:rsid w:val="00FD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F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F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922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ance.qq.com/money/ban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4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</dc:creator>
  <cp:lastModifiedBy>ZHONGM</cp:lastModifiedBy>
  <cp:revision>2</cp:revision>
  <cp:lastPrinted>2017-08-16T08:44:00Z</cp:lastPrinted>
  <dcterms:created xsi:type="dcterms:W3CDTF">2020-09-10T16:01:00Z</dcterms:created>
  <dcterms:modified xsi:type="dcterms:W3CDTF">2020-09-10T16:01:00Z</dcterms:modified>
</cp:coreProperties>
</file>