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869" w:rsidRDefault="00437BCF" w:rsidP="00843BC9">
      <w:pPr>
        <w:spacing w:beforeLines="30" w:afterLines="30"/>
        <w:jc w:val="center"/>
        <w:rPr>
          <w:rFonts w:ascii="Times New Roman" w:eastAsia="楷体_GB2312" w:hAnsi="Times New Roman" w:cs="Times New Roman"/>
          <w:b/>
          <w:sz w:val="28"/>
          <w:szCs w:val="24"/>
        </w:rPr>
      </w:pPr>
      <w:r>
        <w:rPr>
          <w:rFonts w:ascii="Times New Roman" w:eastAsia="楷体_GB2312" w:hAnsi="Times New Roman" w:cs="Times New Roman"/>
          <w:b/>
          <w:sz w:val="28"/>
          <w:szCs w:val="24"/>
        </w:rPr>
        <w:t>中金基金管理有限公司关于旗下基金投资关联方承销期内</w:t>
      </w:r>
    </w:p>
    <w:p w:rsidR="00E11869" w:rsidRDefault="00437BCF" w:rsidP="00843BC9">
      <w:pPr>
        <w:spacing w:beforeLines="30" w:afterLines="30"/>
        <w:jc w:val="center"/>
        <w:rPr>
          <w:rFonts w:ascii="Times New Roman" w:eastAsia="楷体_GB2312" w:hAnsi="Times New Roman" w:cs="Times New Roman"/>
          <w:b/>
          <w:sz w:val="28"/>
          <w:szCs w:val="24"/>
        </w:rPr>
      </w:pPr>
      <w:r>
        <w:rPr>
          <w:rFonts w:ascii="Times New Roman" w:eastAsia="楷体_GB2312" w:hAnsi="Times New Roman" w:cs="Times New Roman"/>
          <w:b/>
          <w:sz w:val="28"/>
          <w:szCs w:val="24"/>
        </w:rPr>
        <w:t>承销证券的公告</w:t>
      </w:r>
    </w:p>
    <w:p w:rsidR="00E11869" w:rsidRDefault="00437BCF" w:rsidP="00843BC9">
      <w:pPr>
        <w:spacing w:beforeLines="50" w:afterLines="50"/>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根据《中华人民共和国证券投资基金法》《公开募集证券投资基金运作管理办法》</w:t>
      </w:r>
      <w:r>
        <w:rPr>
          <w:rFonts w:ascii="Times New Roman" w:eastAsia="楷体_GB2312" w:hAnsi="Times New Roman" w:cs="Times New Roman" w:hint="eastAsia"/>
          <w:sz w:val="24"/>
          <w:szCs w:val="24"/>
        </w:rPr>
        <w:t>《公开募集证券投资基金信息披露管理办法》及相关基金</w:t>
      </w:r>
      <w:r>
        <w:rPr>
          <w:rFonts w:ascii="Times New Roman" w:eastAsia="楷体_GB2312" w:hAnsi="Times New Roman" w:cs="Times New Roman"/>
          <w:sz w:val="24"/>
          <w:szCs w:val="24"/>
        </w:rPr>
        <w:t>基金合同</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招募说明书等有关规定，经履行适当审批程序</w:t>
      </w:r>
      <w:r>
        <w:rPr>
          <w:rFonts w:ascii="Times New Roman" w:eastAsia="楷体_GB2312" w:hAnsi="Times New Roman" w:cs="Times New Roman" w:hint="eastAsia"/>
          <w:sz w:val="24"/>
          <w:szCs w:val="24"/>
        </w:rPr>
        <w:t>，中金</w:t>
      </w:r>
      <w:r>
        <w:rPr>
          <w:rFonts w:ascii="Times New Roman" w:eastAsia="楷体_GB2312" w:hAnsi="Times New Roman" w:cs="Times New Roman"/>
          <w:sz w:val="24"/>
          <w:szCs w:val="24"/>
        </w:rPr>
        <w:t>基金管理有限公司</w:t>
      </w:r>
      <w:r>
        <w:rPr>
          <w:rFonts w:ascii="Times New Roman" w:eastAsia="楷体_GB2312" w:hAnsi="Times New Roman" w:cs="Times New Roman" w:hint="eastAsia"/>
          <w:sz w:val="24"/>
          <w:szCs w:val="24"/>
        </w:rPr>
        <w:t>（“本公司”）旗下部分基金</w:t>
      </w:r>
      <w:r>
        <w:rPr>
          <w:rFonts w:ascii="Times New Roman" w:eastAsia="楷体_GB2312" w:hAnsi="Times New Roman" w:cs="Times New Roman"/>
          <w:sz w:val="24"/>
          <w:szCs w:val="24"/>
        </w:rPr>
        <w:t>参与了</w:t>
      </w:r>
      <w:r>
        <w:rPr>
          <w:rFonts w:ascii="Times New Roman" w:eastAsia="楷体_GB2312" w:hAnsi="Times New Roman" w:cs="Times New Roman" w:hint="eastAsia"/>
          <w:sz w:val="24"/>
          <w:szCs w:val="24"/>
        </w:rPr>
        <w:t>上海奕瑞光电子科技股份有限公司</w:t>
      </w:r>
      <w:r>
        <w:rPr>
          <w:rFonts w:ascii="Times New Roman" w:eastAsia="楷体_GB2312" w:hAnsi="Times New Roman" w:cs="Times New Roman"/>
          <w:sz w:val="24"/>
          <w:szCs w:val="24"/>
        </w:rPr>
        <w:t>（</w:t>
      </w:r>
      <w:r>
        <w:rPr>
          <w:rFonts w:ascii="Times New Roman" w:eastAsia="楷体_GB2312" w:hAnsi="Times New Roman" w:cs="Times New Roman" w:hint="eastAsia"/>
          <w:sz w:val="24"/>
          <w:szCs w:val="24"/>
        </w:rPr>
        <w:t>“奕瑞科技”</w:t>
      </w:r>
      <w:r>
        <w:rPr>
          <w:rFonts w:ascii="Times New Roman" w:eastAsia="楷体_GB2312" w:hAnsi="Times New Roman" w:cs="Times New Roman"/>
          <w:sz w:val="24"/>
          <w:szCs w:val="24"/>
        </w:rPr>
        <w:t>）首次公开发行股票并在</w:t>
      </w:r>
      <w:r>
        <w:rPr>
          <w:rFonts w:ascii="Times New Roman" w:eastAsia="楷体_GB2312" w:hAnsi="Times New Roman" w:cs="Times New Roman" w:hint="eastAsia"/>
          <w:sz w:val="24"/>
          <w:szCs w:val="24"/>
        </w:rPr>
        <w:t>科创板</w:t>
      </w:r>
      <w:r>
        <w:rPr>
          <w:rFonts w:ascii="Times New Roman" w:eastAsia="楷体_GB2312" w:hAnsi="Times New Roman" w:cs="Times New Roman"/>
          <w:sz w:val="24"/>
          <w:szCs w:val="24"/>
        </w:rPr>
        <w:t>上市（</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本次发行</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）的网下申购，本公司股东中国国际金融股份有限公司为本次发行的联席主承销商。本次发行价格为</w:t>
      </w:r>
      <w:r>
        <w:rPr>
          <w:rFonts w:ascii="Times New Roman" w:eastAsia="楷体_GB2312" w:hAnsi="Times New Roman" w:cs="Times New Roman" w:hint="eastAsia"/>
          <w:sz w:val="24"/>
          <w:szCs w:val="24"/>
        </w:rPr>
        <w:t xml:space="preserve"> 119.60</w:t>
      </w:r>
      <w:r>
        <w:rPr>
          <w:rFonts w:ascii="Times New Roman" w:eastAsia="楷体_GB2312" w:hAnsi="Times New Roman" w:cs="Times New Roman" w:hint="eastAsia"/>
          <w:sz w:val="24"/>
          <w:szCs w:val="24"/>
        </w:rPr>
        <w:t>元</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股</w:t>
      </w:r>
      <w:r>
        <w:rPr>
          <w:rFonts w:ascii="Times New Roman" w:eastAsia="楷体_GB2312" w:hAnsi="Times New Roman" w:cs="Times New Roman"/>
          <w:sz w:val="24"/>
          <w:szCs w:val="24"/>
        </w:rPr>
        <w:t>，由发行人和</w:t>
      </w:r>
      <w:r>
        <w:rPr>
          <w:rFonts w:ascii="Times New Roman" w:eastAsia="楷体_GB2312" w:hAnsi="Times New Roman" w:cs="Times New Roman" w:hint="eastAsia"/>
          <w:sz w:val="24"/>
          <w:szCs w:val="24"/>
        </w:rPr>
        <w:t>联席</w:t>
      </w:r>
      <w:r>
        <w:rPr>
          <w:rFonts w:ascii="Times New Roman" w:eastAsia="楷体_GB2312" w:hAnsi="Times New Roman" w:cs="Times New Roman"/>
          <w:sz w:val="24"/>
          <w:szCs w:val="24"/>
        </w:rPr>
        <w:t>主承销商</w:t>
      </w:r>
      <w:r>
        <w:rPr>
          <w:rFonts w:ascii="Times New Roman" w:eastAsia="楷体_GB2312" w:hAnsi="Times New Roman" w:cs="Times New Roman" w:hint="eastAsia"/>
          <w:sz w:val="24"/>
          <w:szCs w:val="24"/>
        </w:rPr>
        <w:t>根据初步询价结果，综合考虑发行人基本面、本次公开发行的股份数量、发行人所处行业、可比上市公司估值水平、市场情况、募集资金需求以及承销风险等因素</w:t>
      </w:r>
      <w:r>
        <w:rPr>
          <w:rFonts w:ascii="Times New Roman" w:eastAsia="楷体_GB2312" w:hAnsi="Times New Roman" w:cs="Times New Roman"/>
          <w:sz w:val="24"/>
          <w:szCs w:val="24"/>
        </w:rPr>
        <w:t>后协商确定。</w:t>
      </w:r>
    </w:p>
    <w:p w:rsidR="00E11869" w:rsidRDefault="00437BCF" w:rsidP="00843BC9">
      <w:pPr>
        <w:spacing w:beforeLines="50" w:afterLines="50"/>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根据法律法规</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基金合同</w:t>
      </w:r>
      <w:r>
        <w:rPr>
          <w:rFonts w:ascii="Times New Roman" w:eastAsia="楷体_GB2312" w:hAnsi="Times New Roman" w:cs="Times New Roman" w:hint="eastAsia"/>
          <w:sz w:val="24"/>
          <w:szCs w:val="24"/>
        </w:rPr>
        <w:t>及奕瑞科技于</w:t>
      </w:r>
      <w:r>
        <w:rPr>
          <w:rFonts w:ascii="Times New Roman" w:eastAsia="楷体_GB2312" w:hAnsi="Times New Roman" w:cs="Times New Roman" w:hint="eastAsia"/>
          <w:sz w:val="24"/>
          <w:szCs w:val="24"/>
        </w:rPr>
        <w:t>2020</w:t>
      </w:r>
      <w:r>
        <w:rPr>
          <w:rFonts w:ascii="Times New Roman" w:eastAsia="楷体_GB2312" w:hAnsi="Times New Roman" w:cs="Times New Roman" w:hint="eastAsia"/>
          <w:sz w:val="24"/>
          <w:szCs w:val="24"/>
        </w:rPr>
        <w:t>年</w:t>
      </w:r>
      <w:r>
        <w:rPr>
          <w:rFonts w:ascii="Times New Roman" w:eastAsia="楷体_GB2312" w:hAnsi="Times New Roman" w:cs="Times New Roman"/>
          <w:sz w:val="24"/>
          <w:szCs w:val="24"/>
        </w:rPr>
        <w:t>9</w:t>
      </w:r>
      <w:r>
        <w:rPr>
          <w:rFonts w:ascii="Times New Roman" w:eastAsia="楷体_GB2312" w:hAnsi="Times New Roman" w:cs="Times New Roman" w:hint="eastAsia"/>
          <w:sz w:val="24"/>
          <w:szCs w:val="24"/>
        </w:rPr>
        <w:t>月</w:t>
      </w:r>
      <w:r>
        <w:rPr>
          <w:rFonts w:ascii="Times New Roman" w:eastAsia="楷体_GB2312" w:hAnsi="Times New Roman" w:cs="Times New Roman"/>
          <w:sz w:val="24"/>
          <w:szCs w:val="24"/>
        </w:rPr>
        <w:t>9</w:t>
      </w:r>
      <w:r>
        <w:rPr>
          <w:rFonts w:ascii="Times New Roman" w:eastAsia="楷体_GB2312" w:hAnsi="Times New Roman" w:cs="Times New Roman" w:hint="eastAsia"/>
          <w:sz w:val="24"/>
          <w:szCs w:val="24"/>
        </w:rPr>
        <w:t>日</w:t>
      </w:r>
      <w:r>
        <w:rPr>
          <w:rFonts w:ascii="Times New Roman" w:eastAsia="楷体_GB2312" w:hAnsi="Times New Roman" w:cs="Times New Roman"/>
          <w:sz w:val="24"/>
          <w:szCs w:val="24"/>
        </w:rPr>
        <w:t>发布的《</w:t>
      </w:r>
      <w:r>
        <w:rPr>
          <w:rFonts w:ascii="Times New Roman" w:eastAsia="楷体_GB2312" w:hAnsi="Times New Roman" w:cs="Times New Roman" w:hint="eastAsia"/>
          <w:sz w:val="24"/>
          <w:szCs w:val="24"/>
        </w:rPr>
        <w:t>上海奕瑞光电子科技股份有限公司首次公开发行股票并在科创板上市网下初步配售结果及网上中签结果公告</w:t>
      </w:r>
      <w:r>
        <w:rPr>
          <w:rFonts w:ascii="Times New Roman" w:eastAsia="楷体_GB2312" w:hAnsi="Times New Roman" w:cs="Times New Roman"/>
          <w:sz w:val="24"/>
          <w:szCs w:val="24"/>
        </w:rPr>
        <w:t>》，现将</w:t>
      </w:r>
      <w:r>
        <w:rPr>
          <w:rFonts w:ascii="Times New Roman" w:eastAsia="楷体_GB2312" w:hAnsi="Times New Roman" w:cs="Times New Roman" w:hint="eastAsia"/>
          <w:sz w:val="24"/>
          <w:szCs w:val="24"/>
        </w:rPr>
        <w:t>本公司旗下基金</w:t>
      </w:r>
      <w:r>
        <w:rPr>
          <w:rFonts w:ascii="Times New Roman" w:eastAsia="楷体_GB2312" w:hAnsi="Times New Roman" w:cs="Times New Roman"/>
          <w:sz w:val="24"/>
          <w:szCs w:val="24"/>
        </w:rPr>
        <w:t>获配信息公告如下：</w:t>
      </w:r>
    </w:p>
    <w:tbl>
      <w:tblPr>
        <w:tblStyle w:val="a9"/>
        <w:tblW w:w="0" w:type="auto"/>
        <w:jc w:val="center"/>
        <w:tblInd w:w="-318" w:type="dxa"/>
        <w:tblLook w:val="04A0"/>
      </w:tblPr>
      <w:tblGrid>
        <w:gridCol w:w="5448"/>
        <w:gridCol w:w="948"/>
        <w:gridCol w:w="1312"/>
        <w:gridCol w:w="1132"/>
      </w:tblGrid>
      <w:tr w:rsidR="00E11869" w:rsidTr="00437BCF">
        <w:trPr>
          <w:jc w:val="center"/>
        </w:trPr>
        <w:tc>
          <w:tcPr>
            <w:tcW w:w="5448" w:type="dxa"/>
            <w:shd w:val="clear" w:color="auto" w:fill="D9D9D9" w:themeFill="background1" w:themeFillShade="D9"/>
            <w:vAlign w:val="center"/>
          </w:tcPr>
          <w:p w:rsidR="00E11869" w:rsidRDefault="00437BCF">
            <w:pPr>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基金名称</w:t>
            </w:r>
          </w:p>
        </w:tc>
        <w:tc>
          <w:tcPr>
            <w:tcW w:w="948" w:type="dxa"/>
            <w:shd w:val="clear" w:color="auto" w:fill="D9D9D9" w:themeFill="background1" w:themeFillShade="D9"/>
            <w:vAlign w:val="center"/>
          </w:tcPr>
          <w:p w:rsidR="00E11869" w:rsidRDefault="00437BCF">
            <w:pPr>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获配数量（股）</w:t>
            </w:r>
          </w:p>
        </w:tc>
        <w:tc>
          <w:tcPr>
            <w:tcW w:w="1312" w:type="dxa"/>
            <w:shd w:val="clear" w:color="auto" w:fill="D9D9D9" w:themeFill="background1" w:themeFillShade="D9"/>
            <w:vAlign w:val="center"/>
          </w:tcPr>
          <w:p w:rsidR="00E11869" w:rsidRDefault="00437BCF">
            <w:pPr>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获配金额（元，不含佣金）</w:t>
            </w:r>
          </w:p>
        </w:tc>
        <w:tc>
          <w:tcPr>
            <w:tcW w:w="1132" w:type="dxa"/>
            <w:shd w:val="clear" w:color="auto" w:fill="D9D9D9" w:themeFill="background1" w:themeFillShade="D9"/>
          </w:tcPr>
          <w:p w:rsidR="00E11869" w:rsidRDefault="00437BCF">
            <w:pPr>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相应新股配售经纪佣金（元）</w:t>
            </w:r>
          </w:p>
        </w:tc>
      </w:tr>
      <w:tr w:rsidR="00E11869" w:rsidTr="00437BCF">
        <w:trPr>
          <w:jc w:val="center"/>
        </w:trPr>
        <w:tc>
          <w:tcPr>
            <w:tcW w:w="5448" w:type="dxa"/>
            <w:vAlign w:val="center"/>
          </w:tcPr>
          <w:p w:rsidR="00E11869" w:rsidRPr="00437BCF" w:rsidRDefault="00437BCF">
            <w:pPr>
              <w:jc w:val="center"/>
              <w:rPr>
                <w:rFonts w:ascii="Times New Roman" w:eastAsia="楷体_GB2312" w:hAnsi="Times New Roman" w:cs="Times New Roman"/>
                <w:szCs w:val="21"/>
              </w:rPr>
            </w:pPr>
            <w:r w:rsidRPr="00437BCF">
              <w:rPr>
                <w:rFonts w:ascii="Times New Roman" w:eastAsia="楷体_GB2312" w:hAnsi="Times New Roman" w:cs="Times New Roman" w:hint="eastAsia"/>
                <w:szCs w:val="21"/>
              </w:rPr>
              <w:t>中金中证</w:t>
            </w:r>
            <w:r w:rsidRPr="00437BCF">
              <w:rPr>
                <w:rFonts w:ascii="Times New Roman" w:eastAsia="楷体_GB2312" w:hAnsi="Times New Roman" w:cs="Times New Roman" w:hint="eastAsia"/>
                <w:szCs w:val="21"/>
              </w:rPr>
              <w:t>500</w:t>
            </w:r>
            <w:r w:rsidRPr="00437BCF">
              <w:rPr>
                <w:rFonts w:ascii="Times New Roman" w:eastAsia="楷体_GB2312" w:hAnsi="Times New Roman" w:cs="Times New Roman" w:hint="eastAsia"/>
                <w:szCs w:val="21"/>
              </w:rPr>
              <w:t>指数增强型发起式证券投资基金</w:t>
            </w:r>
          </w:p>
        </w:tc>
        <w:tc>
          <w:tcPr>
            <w:tcW w:w="948" w:type="dxa"/>
            <w:vAlign w:val="center"/>
          </w:tcPr>
          <w:p w:rsidR="00E11869" w:rsidRPr="00437BCF" w:rsidRDefault="00437BCF">
            <w:pPr>
              <w:jc w:val="center"/>
              <w:rPr>
                <w:rFonts w:ascii="Times New Roman" w:hAnsi="Times New Roman" w:cs="Times New Roman"/>
                <w:szCs w:val="21"/>
              </w:rPr>
            </w:pPr>
            <w:r w:rsidRPr="00437BCF">
              <w:rPr>
                <w:rFonts w:ascii="Times New Roman" w:hAnsi="Times New Roman" w:cs="Times New Roman" w:hint="eastAsia"/>
                <w:szCs w:val="21"/>
              </w:rPr>
              <w:t>826</w:t>
            </w:r>
          </w:p>
        </w:tc>
        <w:tc>
          <w:tcPr>
            <w:tcW w:w="1312" w:type="dxa"/>
            <w:vAlign w:val="center"/>
          </w:tcPr>
          <w:p w:rsidR="00E11869" w:rsidRPr="00437BCF" w:rsidRDefault="00437BCF">
            <w:pPr>
              <w:jc w:val="center"/>
              <w:rPr>
                <w:rFonts w:ascii="Times New Roman" w:eastAsia="楷体" w:hAnsi="Times New Roman" w:cs="Times New Roman"/>
                <w:color w:val="000000"/>
                <w:szCs w:val="21"/>
              </w:rPr>
            </w:pPr>
            <w:r w:rsidRPr="00437BCF">
              <w:rPr>
                <w:rFonts w:ascii="Times New Roman" w:eastAsia="楷体" w:hAnsi="Times New Roman" w:cs="Times New Roman" w:hint="eastAsia"/>
                <w:color w:val="000000"/>
                <w:szCs w:val="21"/>
              </w:rPr>
              <w:t>98,789.60</w:t>
            </w:r>
          </w:p>
        </w:tc>
        <w:tc>
          <w:tcPr>
            <w:tcW w:w="1132" w:type="dxa"/>
            <w:vAlign w:val="center"/>
          </w:tcPr>
          <w:p w:rsidR="00E11869" w:rsidRPr="00437BCF" w:rsidRDefault="00437BCF">
            <w:pPr>
              <w:jc w:val="center"/>
              <w:rPr>
                <w:rFonts w:ascii="Times New Roman" w:eastAsia="楷体" w:hAnsi="Times New Roman" w:cs="Times New Roman"/>
                <w:color w:val="000000"/>
                <w:szCs w:val="21"/>
              </w:rPr>
            </w:pPr>
            <w:r w:rsidRPr="00437BCF">
              <w:rPr>
                <w:rFonts w:ascii="Times New Roman" w:eastAsia="楷体" w:hAnsi="Times New Roman" w:cs="Times New Roman" w:hint="eastAsia"/>
                <w:color w:val="000000"/>
                <w:szCs w:val="21"/>
              </w:rPr>
              <w:t>493.95</w:t>
            </w:r>
          </w:p>
        </w:tc>
      </w:tr>
      <w:tr w:rsidR="00E11869" w:rsidTr="00437BCF">
        <w:trPr>
          <w:jc w:val="center"/>
        </w:trPr>
        <w:tc>
          <w:tcPr>
            <w:tcW w:w="5448" w:type="dxa"/>
            <w:vAlign w:val="center"/>
          </w:tcPr>
          <w:p w:rsidR="00E11869" w:rsidRPr="00437BCF" w:rsidRDefault="00437BCF">
            <w:pPr>
              <w:jc w:val="center"/>
              <w:rPr>
                <w:rFonts w:ascii="Times New Roman" w:eastAsia="楷体_GB2312" w:hAnsi="Times New Roman" w:cs="Times New Roman"/>
                <w:szCs w:val="21"/>
              </w:rPr>
            </w:pPr>
            <w:r w:rsidRPr="00437BCF">
              <w:rPr>
                <w:rFonts w:ascii="Times New Roman" w:eastAsia="楷体_GB2312" w:hAnsi="Times New Roman" w:cs="Times New Roman" w:hint="eastAsia"/>
                <w:szCs w:val="21"/>
              </w:rPr>
              <w:t>中金</w:t>
            </w:r>
            <w:r w:rsidRPr="00437BCF">
              <w:rPr>
                <w:rFonts w:ascii="Times New Roman" w:eastAsia="楷体_GB2312" w:hAnsi="Times New Roman" w:cs="Times New Roman" w:hint="eastAsia"/>
                <w:szCs w:val="21"/>
              </w:rPr>
              <w:t>MSCI</w:t>
            </w:r>
            <w:r w:rsidRPr="00437BCF">
              <w:rPr>
                <w:rFonts w:ascii="Times New Roman" w:eastAsia="楷体_GB2312" w:hAnsi="Times New Roman" w:cs="Times New Roman" w:hint="eastAsia"/>
                <w:szCs w:val="21"/>
              </w:rPr>
              <w:t>中国</w:t>
            </w:r>
            <w:r w:rsidRPr="00437BCF">
              <w:rPr>
                <w:rFonts w:ascii="Times New Roman" w:eastAsia="楷体_GB2312" w:hAnsi="Times New Roman" w:cs="Times New Roman" w:hint="eastAsia"/>
                <w:szCs w:val="21"/>
              </w:rPr>
              <w:t>A</w:t>
            </w:r>
            <w:r w:rsidRPr="00437BCF">
              <w:rPr>
                <w:rFonts w:ascii="Times New Roman" w:eastAsia="楷体_GB2312" w:hAnsi="Times New Roman" w:cs="Times New Roman" w:hint="eastAsia"/>
                <w:szCs w:val="21"/>
              </w:rPr>
              <w:t>股国际质量指数发起式证券投资基金</w:t>
            </w:r>
          </w:p>
        </w:tc>
        <w:tc>
          <w:tcPr>
            <w:tcW w:w="948" w:type="dxa"/>
            <w:vAlign w:val="center"/>
          </w:tcPr>
          <w:p w:rsidR="00E11869" w:rsidRPr="00437BCF" w:rsidRDefault="00437BCF">
            <w:pPr>
              <w:jc w:val="center"/>
              <w:rPr>
                <w:rFonts w:ascii="Times New Roman" w:hAnsi="Times New Roman" w:cs="Times New Roman"/>
                <w:szCs w:val="21"/>
              </w:rPr>
            </w:pPr>
            <w:r w:rsidRPr="00437BCF">
              <w:rPr>
                <w:rFonts w:ascii="Times New Roman" w:hAnsi="Times New Roman" w:cs="Times New Roman" w:hint="eastAsia"/>
                <w:szCs w:val="21"/>
              </w:rPr>
              <w:t>923</w:t>
            </w:r>
          </w:p>
        </w:tc>
        <w:tc>
          <w:tcPr>
            <w:tcW w:w="1312" w:type="dxa"/>
            <w:vAlign w:val="center"/>
          </w:tcPr>
          <w:p w:rsidR="00E11869" w:rsidRPr="00437BCF" w:rsidRDefault="00437BCF">
            <w:pPr>
              <w:jc w:val="center"/>
              <w:rPr>
                <w:rFonts w:ascii="Times New Roman" w:eastAsia="楷体" w:hAnsi="Times New Roman" w:cs="Times New Roman"/>
                <w:color w:val="000000"/>
                <w:szCs w:val="21"/>
              </w:rPr>
            </w:pPr>
            <w:r w:rsidRPr="00437BCF">
              <w:rPr>
                <w:rFonts w:ascii="Times New Roman" w:eastAsia="楷体" w:hAnsi="Times New Roman" w:cs="Times New Roman" w:hint="eastAsia"/>
                <w:color w:val="000000"/>
                <w:szCs w:val="21"/>
              </w:rPr>
              <w:t>110,390.80</w:t>
            </w:r>
          </w:p>
        </w:tc>
        <w:tc>
          <w:tcPr>
            <w:tcW w:w="1132" w:type="dxa"/>
            <w:vAlign w:val="center"/>
          </w:tcPr>
          <w:p w:rsidR="00E11869" w:rsidRPr="00437BCF" w:rsidRDefault="00437BCF">
            <w:pPr>
              <w:jc w:val="center"/>
              <w:rPr>
                <w:rFonts w:ascii="Times New Roman" w:eastAsia="楷体" w:hAnsi="Times New Roman" w:cs="Times New Roman"/>
                <w:color w:val="000000"/>
                <w:szCs w:val="21"/>
              </w:rPr>
            </w:pPr>
            <w:r w:rsidRPr="00437BCF">
              <w:rPr>
                <w:rFonts w:ascii="Times New Roman" w:eastAsia="楷体" w:hAnsi="Times New Roman" w:cs="Times New Roman" w:hint="eastAsia"/>
                <w:color w:val="000000"/>
                <w:szCs w:val="21"/>
              </w:rPr>
              <w:t>551.95</w:t>
            </w:r>
          </w:p>
        </w:tc>
      </w:tr>
      <w:tr w:rsidR="00E11869" w:rsidTr="00437BCF">
        <w:trPr>
          <w:jc w:val="center"/>
        </w:trPr>
        <w:tc>
          <w:tcPr>
            <w:tcW w:w="5448" w:type="dxa"/>
            <w:vAlign w:val="center"/>
          </w:tcPr>
          <w:p w:rsidR="00E11869" w:rsidRPr="00437BCF" w:rsidRDefault="00437BCF">
            <w:pPr>
              <w:jc w:val="center"/>
              <w:rPr>
                <w:rFonts w:ascii="Times New Roman" w:eastAsia="楷体_GB2312" w:hAnsi="Times New Roman" w:cs="Times New Roman"/>
                <w:szCs w:val="21"/>
              </w:rPr>
            </w:pPr>
            <w:r w:rsidRPr="00437BCF">
              <w:rPr>
                <w:rFonts w:ascii="Times New Roman" w:eastAsia="楷体_GB2312" w:hAnsi="Times New Roman" w:cs="Times New Roman" w:hint="eastAsia"/>
                <w:szCs w:val="21"/>
              </w:rPr>
              <w:t>中金中证沪港深优选消费</w:t>
            </w:r>
            <w:r w:rsidRPr="00437BCF">
              <w:rPr>
                <w:rFonts w:ascii="Times New Roman" w:eastAsia="楷体_GB2312" w:hAnsi="Times New Roman" w:cs="Times New Roman" w:hint="eastAsia"/>
                <w:szCs w:val="21"/>
              </w:rPr>
              <w:t>50</w:t>
            </w:r>
            <w:r w:rsidRPr="00437BCF">
              <w:rPr>
                <w:rFonts w:ascii="Times New Roman" w:eastAsia="楷体_GB2312" w:hAnsi="Times New Roman" w:cs="Times New Roman" w:hint="eastAsia"/>
                <w:szCs w:val="21"/>
              </w:rPr>
              <w:t>指数证券投资基金</w:t>
            </w:r>
          </w:p>
        </w:tc>
        <w:tc>
          <w:tcPr>
            <w:tcW w:w="948" w:type="dxa"/>
            <w:vAlign w:val="center"/>
          </w:tcPr>
          <w:p w:rsidR="00E11869" w:rsidRPr="00437BCF" w:rsidRDefault="00437BCF">
            <w:pPr>
              <w:jc w:val="center"/>
              <w:rPr>
                <w:rFonts w:ascii="Times New Roman" w:hAnsi="Times New Roman" w:cs="Times New Roman"/>
                <w:szCs w:val="21"/>
              </w:rPr>
            </w:pPr>
            <w:r w:rsidRPr="00437BCF">
              <w:rPr>
                <w:rFonts w:ascii="Times New Roman" w:hAnsi="Times New Roman" w:cs="Times New Roman" w:hint="eastAsia"/>
                <w:szCs w:val="21"/>
              </w:rPr>
              <w:t>680</w:t>
            </w:r>
          </w:p>
        </w:tc>
        <w:tc>
          <w:tcPr>
            <w:tcW w:w="1312" w:type="dxa"/>
            <w:vAlign w:val="center"/>
          </w:tcPr>
          <w:p w:rsidR="00E11869" w:rsidRPr="00437BCF" w:rsidRDefault="00437BCF">
            <w:pPr>
              <w:jc w:val="center"/>
              <w:rPr>
                <w:rFonts w:ascii="Times New Roman" w:eastAsia="楷体" w:hAnsi="Times New Roman" w:cs="Times New Roman"/>
                <w:color w:val="000000"/>
                <w:szCs w:val="21"/>
              </w:rPr>
            </w:pPr>
            <w:r w:rsidRPr="00437BCF">
              <w:rPr>
                <w:rFonts w:ascii="Times New Roman" w:eastAsia="楷体" w:hAnsi="Times New Roman" w:cs="Times New Roman" w:hint="eastAsia"/>
                <w:color w:val="000000"/>
                <w:szCs w:val="21"/>
              </w:rPr>
              <w:t>81,328.00</w:t>
            </w:r>
          </w:p>
        </w:tc>
        <w:tc>
          <w:tcPr>
            <w:tcW w:w="1132" w:type="dxa"/>
            <w:vAlign w:val="center"/>
          </w:tcPr>
          <w:p w:rsidR="00E11869" w:rsidRPr="00437BCF" w:rsidRDefault="00437BCF">
            <w:pPr>
              <w:jc w:val="center"/>
              <w:rPr>
                <w:rFonts w:ascii="Times New Roman" w:eastAsia="楷体" w:hAnsi="Times New Roman" w:cs="Times New Roman"/>
                <w:color w:val="000000"/>
                <w:szCs w:val="21"/>
              </w:rPr>
            </w:pPr>
            <w:r w:rsidRPr="00437BCF">
              <w:rPr>
                <w:rFonts w:ascii="Times New Roman" w:eastAsia="楷体" w:hAnsi="Times New Roman" w:cs="Times New Roman" w:hint="eastAsia"/>
                <w:color w:val="000000"/>
                <w:szCs w:val="21"/>
              </w:rPr>
              <w:t>406.64</w:t>
            </w:r>
          </w:p>
        </w:tc>
      </w:tr>
      <w:tr w:rsidR="00E11869" w:rsidTr="00437BCF">
        <w:trPr>
          <w:jc w:val="center"/>
        </w:trPr>
        <w:tc>
          <w:tcPr>
            <w:tcW w:w="5448" w:type="dxa"/>
            <w:vAlign w:val="center"/>
          </w:tcPr>
          <w:p w:rsidR="00E11869" w:rsidRPr="00437BCF" w:rsidRDefault="00437BCF">
            <w:pPr>
              <w:jc w:val="center"/>
              <w:rPr>
                <w:rFonts w:ascii="Times New Roman" w:eastAsia="楷体_GB2312" w:hAnsi="Times New Roman" w:cs="Times New Roman"/>
                <w:szCs w:val="21"/>
              </w:rPr>
            </w:pPr>
            <w:r w:rsidRPr="00437BCF">
              <w:rPr>
                <w:rFonts w:ascii="Times New Roman" w:eastAsia="楷体_GB2312" w:hAnsi="Times New Roman" w:cs="Times New Roman" w:hint="eastAsia"/>
                <w:szCs w:val="21"/>
              </w:rPr>
              <w:t>中金金序量化蓝筹混合型证券投资基金</w:t>
            </w:r>
          </w:p>
        </w:tc>
        <w:tc>
          <w:tcPr>
            <w:tcW w:w="948" w:type="dxa"/>
            <w:vAlign w:val="center"/>
          </w:tcPr>
          <w:p w:rsidR="00E11869" w:rsidRPr="00437BCF" w:rsidRDefault="00437BCF">
            <w:pPr>
              <w:jc w:val="center"/>
              <w:rPr>
                <w:rFonts w:ascii="Times New Roman" w:hAnsi="Times New Roman" w:cs="Times New Roman"/>
                <w:szCs w:val="21"/>
              </w:rPr>
            </w:pPr>
            <w:r w:rsidRPr="00437BCF">
              <w:rPr>
                <w:rFonts w:ascii="Times New Roman" w:hAnsi="Times New Roman" w:cs="Times New Roman" w:hint="eastAsia"/>
                <w:szCs w:val="21"/>
              </w:rPr>
              <w:t>680</w:t>
            </w:r>
          </w:p>
        </w:tc>
        <w:tc>
          <w:tcPr>
            <w:tcW w:w="1312" w:type="dxa"/>
            <w:vAlign w:val="center"/>
          </w:tcPr>
          <w:p w:rsidR="00E11869" w:rsidRPr="00437BCF" w:rsidRDefault="00437BCF">
            <w:pPr>
              <w:jc w:val="center"/>
              <w:rPr>
                <w:rFonts w:ascii="Times New Roman" w:eastAsia="楷体" w:hAnsi="Times New Roman" w:cs="Times New Roman"/>
                <w:color w:val="000000"/>
                <w:szCs w:val="21"/>
              </w:rPr>
            </w:pPr>
            <w:r w:rsidRPr="00437BCF">
              <w:rPr>
                <w:rFonts w:ascii="Times New Roman" w:eastAsia="楷体" w:hAnsi="Times New Roman" w:cs="Times New Roman" w:hint="eastAsia"/>
                <w:color w:val="000000"/>
                <w:szCs w:val="21"/>
              </w:rPr>
              <w:t>81,328.00</w:t>
            </w:r>
          </w:p>
        </w:tc>
        <w:tc>
          <w:tcPr>
            <w:tcW w:w="1132" w:type="dxa"/>
            <w:vAlign w:val="center"/>
          </w:tcPr>
          <w:p w:rsidR="00E11869" w:rsidRPr="00437BCF" w:rsidRDefault="00437BCF">
            <w:pPr>
              <w:jc w:val="center"/>
              <w:rPr>
                <w:rFonts w:ascii="Times New Roman" w:eastAsia="楷体" w:hAnsi="Times New Roman" w:cs="Times New Roman"/>
                <w:color w:val="000000"/>
                <w:szCs w:val="21"/>
              </w:rPr>
            </w:pPr>
            <w:r w:rsidRPr="00437BCF">
              <w:rPr>
                <w:rFonts w:ascii="Times New Roman" w:eastAsia="楷体" w:hAnsi="Times New Roman" w:cs="Times New Roman" w:hint="eastAsia"/>
                <w:color w:val="000000"/>
                <w:szCs w:val="21"/>
              </w:rPr>
              <w:t>406.64</w:t>
            </w:r>
          </w:p>
        </w:tc>
      </w:tr>
      <w:tr w:rsidR="00E11869" w:rsidTr="00437BCF">
        <w:trPr>
          <w:jc w:val="center"/>
        </w:trPr>
        <w:tc>
          <w:tcPr>
            <w:tcW w:w="5448" w:type="dxa"/>
            <w:vAlign w:val="center"/>
          </w:tcPr>
          <w:p w:rsidR="00E11869" w:rsidRPr="00437BCF" w:rsidRDefault="00437BCF">
            <w:pPr>
              <w:jc w:val="center"/>
              <w:rPr>
                <w:rFonts w:ascii="Times New Roman" w:eastAsia="楷体_GB2312" w:hAnsi="Times New Roman" w:cs="Times New Roman"/>
                <w:szCs w:val="21"/>
              </w:rPr>
            </w:pPr>
            <w:r w:rsidRPr="00437BCF">
              <w:rPr>
                <w:rFonts w:ascii="Times New Roman" w:eastAsia="楷体_GB2312" w:hAnsi="Times New Roman" w:cs="Times New Roman" w:hint="eastAsia"/>
                <w:szCs w:val="21"/>
              </w:rPr>
              <w:t>中金瑞祥灵活配置混合型证券投资基金</w:t>
            </w:r>
          </w:p>
        </w:tc>
        <w:tc>
          <w:tcPr>
            <w:tcW w:w="948" w:type="dxa"/>
            <w:vAlign w:val="center"/>
          </w:tcPr>
          <w:p w:rsidR="00E11869" w:rsidRPr="00437BCF" w:rsidRDefault="00437BCF">
            <w:pPr>
              <w:jc w:val="center"/>
              <w:rPr>
                <w:rFonts w:ascii="Times New Roman" w:hAnsi="Times New Roman" w:cs="Times New Roman"/>
                <w:szCs w:val="21"/>
              </w:rPr>
            </w:pPr>
            <w:r w:rsidRPr="00437BCF">
              <w:rPr>
                <w:rFonts w:ascii="Times New Roman" w:hAnsi="Times New Roman" w:cs="Times New Roman" w:hint="eastAsia"/>
                <w:szCs w:val="21"/>
              </w:rPr>
              <w:t>777</w:t>
            </w:r>
          </w:p>
        </w:tc>
        <w:tc>
          <w:tcPr>
            <w:tcW w:w="1312" w:type="dxa"/>
            <w:vAlign w:val="center"/>
          </w:tcPr>
          <w:p w:rsidR="00E11869" w:rsidRPr="00437BCF" w:rsidRDefault="00437BCF">
            <w:pPr>
              <w:jc w:val="center"/>
              <w:rPr>
                <w:rFonts w:ascii="Times New Roman" w:eastAsia="楷体" w:hAnsi="Times New Roman" w:cs="Times New Roman"/>
                <w:color w:val="000000"/>
                <w:szCs w:val="21"/>
              </w:rPr>
            </w:pPr>
            <w:r w:rsidRPr="00437BCF">
              <w:rPr>
                <w:rFonts w:ascii="Times New Roman" w:eastAsia="楷体" w:hAnsi="Times New Roman" w:cs="Times New Roman" w:hint="eastAsia"/>
                <w:color w:val="000000"/>
                <w:szCs w:val="21"/>
              </w:rPr>
              <w:t>92,929.20</w:t>
            </w:r>
          </w:p>
        </w:tc>
        <w:tc>
          <w:tcPr>
            <w:tcW w:w="1132" w:type="dxa"/>
            <w:vAlign w:val="center"/>
          </w:tcPr>
          <w:p w:rsidR="00E11869" w:rsidRPr="00437BCF" w:rsidRDefault="00437BCF">
            <w:pPr>
              <w:jc w:val="center"/>
              <w:rPr>
                <w:rFonts w:ascii="Times New Roman" w:eastAsia="楷体" w:hAnsi="Times New Roman" w:cs="Times New Roman"/>
                <w:color w:val="000000"/>
                <w:szCs w:val="21"/>
              </w:rPr>
            </w:pPr>
            <w:r w:rsidRPr="00437BCF">
              <w:rPr>
                <w:rFonts w:ascii="Times New Roman" w:eastAsia="楷体" w:hAnsi="Times New Roman" w:cs="Times New Roman" w:hint="eastAsia"/>
                <w:color w:val="000000"/>
                <w:szCs w:val="21"/>
              </w:rPr>
              <w:t>464.65</w:t>
            </w:r>
          </w:p>
        </w:tc>
      </w:tr>
      <w:tr w:rsidR="00E11869" w:rsidTr="00437BCF">
        <w:trPr>
          <w:jc w:val="center"/>
        </w:trPr>
        <w:tc>
          <w:tcPr>
            <w:tcW w:w="5448" w:type="dxa"/>
            <w:vAlign w:val="center"/>
          </w:tcPr>
          <w:p w:rsidR="00E11869" w:rsidRPr="00437BCF" w:rsidRDefault="00437BCF">
            <w:pPr>
              <w:jc w:val="center"/>
              <w:rPr>
                <w:rFonts w:ascii="Times New Roman" w:eastAsia="楷体_GB2312" w:hAnsi="Times New Roman" w:cs="Times New Roman"/>
                <w:szCs w:val="21"/>
              </w:rPr>
            </w:pPr>
            <w:r w:rsidRPr="00437BCF">
              <w:rPr>
                <w:rFonts w:ascii="Times New Roman" w:eastAsia="楷体_GB2312" w:hAnsi="Times New Roman" w:cs="Times New Roman" w:hint="eastAsia"/>
                <w:szCs w:val="21"/>
              </w:rPr>
              <w:t>中金新医药股票型证券投资基金</w:t>
            </w:r>
          </w:p>
        </w:tc>
        <w:tc>
          <w:tcPr>
            <w:tcW w:w="948" w:type="dxa"/>
            <w:vAlign w:val="center"/>
          </w:tcPr>
          <w:p w:rsidR="00E11869" w:rsidRPr="00437BCF" w:rsidRDefault="00437BCF">
            <w:pPr>
              <w:jc w:val="center"/>
              <w:rPr>
                <w:rFonts w:ascii="Times New Roman" w:hAnsi="Times New Roman" w:cs="Times New Roman"/>
                <w:szCs w:val="21"/>
              </w:rPr>
            </w:pPr>
            <w:r w:rsidRPr="00437BCF">
              <w:rPr>
                <w:rFonts w:ascii="Times New Roman" w:hAnsi="Times New Roman" w:cs="Times New Roman" w:hint="eastAsia"/>
                <w:szCs w:val="21"/>
              </w:rPr>
              <w:t>777</w:t>
            </w:r>
          </w:p>
        </w:tc>
        <w:tc>
          <w:tcPr>
            <w:tcW w:w="1312" w:type="dxa"/>
            <w:vAlign w:val="center"/>
          </w:tcPr>
          <w:p w:rsidR="00E11869" w:rsidRPr="00437BCF" w:rsidRDefault="00437BCF">
            <w:pPr>
              <w:jc w:val="center"/>
              <w:rPr>
                <w:rFonts w:ascii="Times New Roman" w:eastAsia="楷体" w:hAnsi="Times New Roman" w:cs="Times New Roman"/>
                <w:color w:val="000000"/>
                <w:szCs w:val="21"/>
              </w:rPr>
            </w:pPr>
            <w:r w:rsidRPr="00437BCF">
              <w:rPr>
                <w:rFonts w:ascii="Times New Roman" w:eastAsia="楷体" w:hAnsi="Times New Roman" w:cs="Times New Roman" w:hint="eastAsia"/>
                <w:color w:val="000000"/>
                <w:szCs w:val="21"/>
              </w:rPr>
              <w:t>92,929.20</w:t>
            </w:r>
          </w:p>
        </w:tc>
        <w:tc>
          <w:tcPr>
            <w:tcW w:w="1132" w:type="dxa"/>
            <w:vAlign w:val="center"/>
          </w:tcPr>
          <w:p w:rsidR="00E11869" w:rsidRPr="00437BCF" w:rsidRDefault="00437BCF">
            <w:pPr>
              <w:jc w:val="center"/>
              <w:rPr>
                <w:rFonts w:ascii="Times New Roman" w:eastAsia="楷体" w:hAnsi="Times New Roman" w:cs="Times New Roman"/>
                <w:color w:val="000000"/>
                <w:szCs w:val="21"/>
              </w:rPr>
            </w:pPr>
            <w:r w:rsidRPr="00437BCF">
              <w:rPr>
                <w:rFonts w:ascii="Times New Roman" w:eastAsia="楷体" w:hAnsi="Times New Roman" w:cs="Times New Roman" w:hint="eastAsia"/>
                <w:color w:val="000000"/>
                <w:szCs w:val="21"/>
              </w:rPr>
              <w:t>464.65</w:t>
            </w:r>
          </w:p>
        </w:tc>
      </w:tr>
      <w:tr w:rsidR="00E11869" w:rsidTr="00437BCF">
        <w:trPr>
          <w:jc w:val="center"/>
        </w:trPr>
        <w:tc>
          <w:tcPr>
            <w:tcW w:w="5448" w:type="dxa"/>
            <w:vAlign w:val="center"/>
          </w:tcPr>
          <w:p w:rsidR="00E11869" w:rsidRPr="00437BCF" w:rsidRDefault="00437BCF">
            <w:pPr>
              <w:jc w:val="center"/>
              <w:rPr>
                <w:rFonts w:ascii="Times New Roman" w:eastAsia="楷体_GB2312" w:hAnsi="Times New Roman" w:cs="Times New Roman"/>
                <w:szCs w:val="21"/>
              </w:rPr>
            </w:pPr>
            <w:r w:rsidRPr="00437BCF">
              <w:rPr>
                <w:rFonts w:ascii="Times New Roman" w:eastAsia="楷体_GB2312" w:hAnsi="Times New Roman" w:cs="Times New Roman" w:hint="eastAsia"/>
                <w:szCs w:val="21"/>
              </w:rPr>
              <w:t>中金沪深</w:t>
            </w:r>
            <w:r w:rsidRPr="00437BCF">
              <w:rPr>
                <w:rFonts w:ascii="Times New Roman" w:eastAsia="楷体_GB2312" w:hAnsi="Times New Roman" w:cs="Times New Roman" w:hint="eastAsia"/>
                <w:szCs w:val="21"/>
              </w:rPr>
              <w:t>300</w:t>
            </w:r>
            <w:r w:rsidRPr="00437BCF">
              <w:rPr>
                <w:rFonts w:ascii="Times New Roman" w:eastAsia="楷体_GB2312" w:hAnsi="Times New Roman" w:cs="Times New Roman" w:hint="eastAsia"/>
                <w:szCs w:val="21"/>
              </w:rPr>
              <w:t>指数增强型发起式证券投资基金</w:t>
            </w:r>
          </w:p>
        </w:tc>
        <w:tc>
          <w:tcPr>
            <w:tcW w:w="948" w:type="dxa"/>
            <w:vAlign w:val="center"/>
          </w:tcPr>
          <w:p w:rsidR="00E11869" w:rsidRPr="00437BCF" w:rsidRDefault="00437BCF">
            <w:pPr>
              <w:jc w:val="center"/>
              <w:rPr>
                <w:rFonts w:ascii="Times New Roman" w:hAnsi="Times New Roman" w:cs="Times New Roman"/>
                <w:szCs w:val="21"/>
              </w:rPr>
            </w:pPr>
            <w:r w:rsidRPr="00437BCF">
              <w:rPr>
                <w:rFonts w:ascii="Times New Roman" w:hAnsi="Times New Roman" w:cs="Times New Roman" w:hint="eastAsia"/>
                <w:szCs w:val="21"/>
              </w:rPr>
              <w:t>1,408</w:t>
            </w:r>
          </w:p>
        </w:tc>
        <w:tc>
          <w:tcPr>
            <w:tcW w:w="1312" w:type="dxa"/>
            <w:vAlign w:val="center"/>
          </w:tcPr>
          <w:p w:rsidR="00E11869" w:rsidRPr="00437BCF" w:rsidRDefault="00437BCF">
            <w:pPr>
              <w:jc w:val="center"/>
              <w:rPr>
                <w:rFonts w:ascii="Times New Roman" w:eastAsia="楷体" w:hAnsi="Times New Roman" w:cs="Times New Roman"/>
                <w:color w:val="000000"/>
                <w:szCs w:val="21"/>
              </w:rPr>
            </w:pPr>
            <w:r w:rsidRPr="00437BCF">
              <w:rPr>
                <w:rFonts w:ascii="Times New Roman" w:eastAsia="楷体" w:hAnsi="Times New Roman" w:cs="Times New Roman" w:hint="eastAsia"/>
                <w:color w:val="000000"/>
                <w:szCs w:val="21"/>
              </w:rPr>
              <w:t>168,396.80</w:t>
            </w:r>
          </w:p>
        </w:tc>
        <w:tc>
          <w:tcPr>
            <w:tcW w:w="1132" w:type="dxa"/>
            <w:vAlign w:val="center"/>
          </w:tcPr>
          <w:p w:rsidR="00E11869" w:rsidRPr="00437BCF" w:rsidRDefault="00437BCF">
            <w:pPr>
              <w:jc w:val="center"/>
              <w:rPr>
                <w:rFonts w:ascii="Times New Roman" w:eastAsia="楷体" w:hAnsi="Times New Roman" w:cs="Times New Roman"/>
                <w:color w:val="000000"/>
                <w:szCs w:val="21"/>
              </w:rPr>
            </w:pPr>
            <w:r w:rsidRPr="00437BCF">
              <w:rPr>
                <w:rFonts w:ascii="Times New Roman" w:eastAsia="楷体" w:hAnsi="Times New Roman" w:cs="Times New Roman" w:hint="eastAsia"/>
                <w:color w:val="000000"/>
                <w:szCs w:val="21"/>
              </w:rPr>
              <w:t xml:space="preserve">841.98 </w:t>
            </w:r>
          </w:p>
        </w:tc>
      </w:tr>
      <w:tr w:rsidR="00E11869" w:rsidTr="00437BCF">
        <w:trPr>
          <w:jc w:val="center"/>
        </w:trPr>
        <w:tc>
          <w:tcPr>
            <w:tcW w:w="5448" w:type="dxa"/>
            <w:vAlign w:val="center"/>
          </w:tcPr>
          <w:p w:rsidR="00E11869" w:rsidRPr="00437BCF" w:rsidRDefault="00437BCF">
            <w:pPr>
              <w:jc w:val="center"/>
              <w:rPr>
                <w:rFonts w:ascii="Times New Roman" w:eastAsia="楷体_GB2312" w:hAnsi="Times New Roman" w:cs="Times New Roman"/>
                <w:szCs w:val="21"/>
              </w:rPr>
            </w:pPr>
            <w:r w:rsidRPr="00437BCF">
              <w:rPr>
                <w:rFonts w:ascii="Times New Roman" w:eastAsia="楷体_GB2312" w:hAnsi="Times New Roman" w:cs="Times New Roman" w:hint="eastAsia"/>
                <w:szCs w:val="21"/>
              </w:rPr>
              <w:t>中金中证优选</w:t>
            </w:r>
            <w:r w:rsidRPr="00437BCF">
              <w:rPr>
                <w:rFonts w:ascii="Times New Roman" w:eastAsia="楷体_GB2312" w:hAnsi="Times New Roman" w:cs="Times New Roman" w:hint="eastAsia"/>
                <w:szCs w:val="21"/>
              </w:rPr>
              <w:t>300</w:t>
            </w:r>
            <w:r w:rsidRPr="00437BCF">
              <w:rPr>
                <w:rFonts w:ascii="Times New Roman" w:eastAsia="楷体_GB2312" w:hAnsi="Times New Roman" w:cs="Times New Roman" w:hint="eastAsia"/>
                <w:szCs w:val="21"/>
              </w:rPr>
              <w:t>指数证券投资基金</w:t>
            </w:r>
            <w:r w:rsidRPr="00437BCF">
              <w:rPr>
                <w:rFonts w:ascii="Times New Roman" w:eastAsia="楷体_GB2312" w:hAnsi="Times New Roman" w:cs="Times New Roman"/>
                <w:szCs w:val="21"/>
              </w:rPr>
              <w:t>（</w:t>
            </w:r>
            <w:r w:rsidRPr="00437BCF">
              <w:rPr>
                <w:rFonts w:ascii="Times New Roman" w:eastAsia="楷体_GB2312" w:hAnsi="Times New Roman" w:cs="Times New Roman" w:hint="eastAsia"/>
                <w:szCs w:val="21"/>
              </w:rPr>
              <w:t>LOF</w:t>
            </w:r>
            <w:r w:rsidRPr="00437BCF">
              <w:rPr>
                <w:rFonts w:ascii="Times New Roman" w:eastAsia="楷体_GB2312" w:hAnsi="Times New Roman" w:cs="Times New Roman"/>
                <w:szCs w:val="21"/>
              </w:rPr>
              <w:t>）</w:t>
            </w:r>
          </w:p>
        </w:tc>
        <w:tc>
          <w:tcPr>
            <w:tcW w:w="948" w:type="dxa"/>
            <w:vAlign w:val="center"/>
          </w:tcPr>
          <w:p w:rsidR="00E11869" w:rsidRPr="00437BCF" w:rsidRDefault="00437BCF">
            <w:pPr>
              <w:jc w:val="center"/>
              <w:rPr>
                <w:rFonts w:ascii="Times New Roman" w:hAnsi="Times New Roman" w:cs="Times New Roman"/>
                <w:szCs w:val="21"/>
              </w:rPr>
            </w:pPr>
            <w:r w:rsidRPr="00437BCF">
              <w:rPr>
                <w:rFonts w:ascii="Times New Roman" w:hAnsi="Times New Roman" w:cs="Times New Roman" w:hint="eastAsia"/>
                <w:szCs w:val="21"/>
              </w:rPr>
              <w:t>534</w:t>
            </w:r>
          </w:p>
        </w:tc>
        <w:tc>
          <w:tcPr>
            <w:tcW w:w="1312" w:type="dxa"/>
            <w:vAlign w:val="center"/>
          </w:tcPr>
          <w:p w:rsidR="00E11869" w:rsidRPr="00437BCF" w:rsidRDefault="00437BCF">
            <w:pPr>
              <w:jc w:val="center"/>
              <w:rPr>
                <w:rFonts w:ascii="Times New Roman" w:eastAsia="楷体" w:hAnsi="Times New Roman" w:cs="Times New Roman"/>
                <w:color w:val="000000"/>
                <w:szCs w:val="21"/>
              </w:rPr>
            </w:pPr>
            <w:r w:rsidRPr="00437BCF">
              <w:rPr>
                <w:rFonts w:ascii="Times New Roman" w:eastAsia="楷体" w:hAnsi="Times New Roman" w:cs="Times New Roman" w:hint="eastAsia"/>
                <w:color w:val="000000"/>
                <w:szCs w:val="21"/>
              </w:rPr>
              <w:t>63,866.40</w:t>
            </w:r>
          </w:p>
        </w:tc>
        <w:tc>
          <w:tcPr>
            <w:tcW w:w="1132" w:type="dxa"/>
            <w:vAlign w:val="center"/>
          </w:tcPr>
          <w:p w:rsidR="00E11869" w:rsidRPr="00437BCF" w:rsidRDefault="00437BCF">
            <w:pPr>
              <w:jc w:val="center"/>
              <w:rPr>
                <w:rFonts w:ascii="Times New Roman" w:eastAsia="楷体" w:hAnsi="Times New Roman" w:cs="Times New Roman"/>
                <w:color w:val="000000"/>
                <w:szCs w:val="21"/>
              </w:rPr>
            </w:pPr>
            <w:r w:rsidRPr="00437BCF">
              <w:rPr>
                <w:rFonts w:ascii="Times New Roman" w:eastAsia="楷体" w:hAnsi="Times New Roman" w:cs="Times New Roman" w:hint="eastAsia"/>
                <w:color w:val="000000"/>
                <w:szCs w:val="21"/>
              </w:rPr>
              <w:t>319.33</w:t>
            </w:r>
          </w:p>
        </w:tc>
      </w:tr>
      <w:tr w:rsidR="00E11869" w:rsidTr="00437BCF">
        <w:trPr>
          <w:jc w:val="center"/>
        </w:trPr>
        <w:tc>
          <w:tcPr>
            <w:tcW w:w="5448" w:type="dxa"/>
            <w:vAlign w:val="center"/>
          </w:tcPr>
          <w:p w:rsidR="00E11869" w:rsidRPr="00437BCF" w:rsidRDefault="00437BCF">
            <w:pPr>
              <w:jc w:val="center"/>
              <w:rPr>
                <w:rFonts w:ascii="Times New Roman" w:eastAsia="楷体_GB2312" w:hAnsi="Times New Roman" w:cs="Times New Roman"/>
                <w:szCs w:val="21"/>
              </w:rPr>
            </w:pPr>
            <w:r w:rsidRPr="00437BCF">
              <w:rPr>
                <w:rFonts w:ascii="Times New Roman" w:eastAsia="楷体_GB2312" w:hAnsi="Times New Roman" w:cs="Times New Roman" w:hint="eastAsia"/>
                <w:szCs w:val="21"/>
              </w:rPr>
              <w:t>中金科创主题</w:t>
            </w:r>
            <w:r w:rsidRPr="00437BCF">
              <w:rPr>
                <w:rFonts w:ascii="Times New Roman" w:eastAsia="楷体_GB2312" w:hAnsi="Times New Roman" w:cs="Times New Roman" w:hint="eastAsia"/>
                <w:szCs w:val="21"/>
              </w:rPr>
              <w:t>3</w:t>
            </w:r>
            <w:r w:rsidRPr="00437BCF">
              <w:rPr>
                <w:rFonts w:ascii="Times New Roman" w:eastAsia="楷体_GB2312" w:hAnsi="Times New Roman" w:cs="Times New Roman" w:hint="eastAsia"/>
                <w:szCs w:val="21"/>
              </w:rPr>
              <w:t>年封闭运作灵活配置混合型证券投资基金</w:t>
            </w:r>
          </w:p>
        </w:tc>
        <w:tc>
          <w:tcPr>
            <w:tcW w:w="948" w:type="dxa"/>
            <w:vAlign w:val="center"/>
          </w:tcPr>
          <w:p w:rsidR="00E11869" w:rsidRPr="00437BCF" w:rsidRDefault="00437BCF">
            <w:pPr>
              <w:jc w:val="center"/>
              <w:rPr>
                <w:rFonts w:ascii="Times New Roman" w:hAnsi="Times New Roman" w:cs="Times New Roman"/>
                <w:szCs w:val="21"/>
              </w:rPr>
            </w:pPr>
            <w:r w:rsidRPr="00437BCF">
              <w:rPr>
                <w:rFonts w:ascii="Times New Roman" w:hAnsi="Times New Roman" w:cs="Times New Roman" w:hint="eastAsia"/>
                <w:szCs w:val="21"/>
              </w:rPr>
              <w:t>2,427</w:t>
            </w:r>
          </w:p>
        </w:tc>
        <w:tc>
          <w:tcPr>
            <w:tcW w:w="1312" w:type="dxa"/>
            <w:vAlign w:val="center"/>
          </w:tcPr>
          <w:p w:rsidR="00E11869" w:rsidRPr="00437BCF" w:rsidRDefault="00437BCF">
            <w:pPr>
              <w:jc w:val="center"/>
              <w:rPr>
                <w:rFonts w:ascii="Times New Roman" w:eastAsia="楷体" w:hAnsi="Times New Roman" w:cs="Times New Roman"/>
                <w:color w:val="000000"/>
                <w:szCs w:val="21"/>
              </w:rPr>
            </w:pPr>
            <w:r w:rsidRPr="00437BCF">
              <w:rPr>
                <w:rFonts w:ascii="Times New Roman" w:eastAsia="楷体" w:hAnsi="Times New Roman" w:cs="Times New Roman" w:hint="eastAsia"/>
                <w:color w:val="000000"/>
                <w:szCs w:val="21"/>
              </w:rPr>
              <w:t>290,269.20</w:t>
            </w:r>
          </w:p>
        </w:tc>
        <w:tc>
          <w:tcPr>
            <w:tcW w:w="1132" w:type="dxa"/>
            <w:vAlign w:val="center"/>
          </w:tcPr>
          <w:p w:rsidR="00E11869" w:rsidRPr="00437BCF" w:rsidRDefault="00437BCF">
            <w:pPr>
              <w:jc w:val="center"/>
              <w:rPr>
                <w:rFonts w:ascii="Times New Roman" w:eastAsia="楷体" w:hAnsi="Times New Roman" w:cs="Times New Roman"/>
                <w:color w:val="000000"/>
                <w:szCs w:val="21"/>
              </w:rPr>
            </w:pPr>
            <w:r w:rsidRPr="00437BCF">
              <w:rPr>
                <w:rFonts w:ascii="Times New Roman" w:eastAsia="楷体" w:hAnsi="Times New Roman" w:cs="Times New Roman" w:hint="eastAsia"/>
                <w:color w:val="000000"/>
                <w:szCs w:val="21"/>
              </w:rPr>
              <w:t>1,451.35</w:t>
            </w:r>
          </w:p>
        </w:tc>
      </w:tr>
      <w:tr w:rsidR="00E11869" w:rsidTr="00437BCF">
        <w:trPr>
          <w:jc w:val="center"/>
        </w:trPr>
        <w:tc>
          <w:tcPr>
            <w:tcW w:w="5448" w:type="dxa"/>
            <w:vAlign w:val="center"/>
          </w:tcPr>
          <w:p w:rsidR="00E11869" w:rsidRPr="00437BCF" w:rsidRDefault="00437BCF">
            <w:pPr>
              <w:jc w:val="center"/>
              <w:rPr>
                <w:rFonts w:ascii="Times New Roman" w:eastAsia="楷体_GB2312" w:hAnsi="Times New Roman" w:cs="Times New Roman"/>
                <w:szCs w:val="21"/>
              </w:rPr>
            </w:pPr>
            <w:r w:rsidRPr="00437BCF">
              <w:rPr>
                <w:rFonts w:ascii="Times New Roman" w:eastAsia="楷体_GB2312" w:hAnsi="Times New Roman" w:cs="Times New Roman" w:hint="eastAsia"/>
                <w:szCs w:val="21"/>
              </w:rPr>
              <w:t>中金瑞和灵活配置混合型证券投资基金</w:t>
            </w:r>
          </w:p>
        </w:tc>
        <w:tc>
          <w:tcPr>
            <w:tcW w:w="948" w:type="dxa"/>
            <w:vAlign w:val="center"/>
          </w:tcPr>
          <w:p w:rsidR="00E11869" w:rsidRPr="00437BCF" w:rsidRDefault="00437BCF">
            <w:pPr>
              <w:jc w:val="center"/>
              <w:rPr>
                <w:rFonts w:ascii="Times New Roman" w:hAnsi="Times New Roman" w:cs="Times New Roman"/>
                <w:szCs w:val="21"/>
              </w:rPr>
            </w:pPr>
            <w:r w:rsidRPr="00437BCF">
              <w:rPr>
                <w:rFonts w:ascii="Times New Roman" w:hAnsi="Times New Roman" w:cs="Times New Roman" w:hint="eastAsia"/>
                <w:szCs w:val="21"/>
              </w:rPr>
              <w:t>1,990</w:t>
            </w:r>
          </w:p>
        </w:tc>
        <w:tc>
          <w:tcPr>
            <w:tcW w:w="1312" w:type="dxa"/>
            <w:vAlign w:val="center"/>
          </w:tcPr>
          <w:p w:rsidR="00E11869" w:rsidRPr="00437BCF" w:rsidRDefault="00437BCF">
            <w:pPr>
              <w:jc w:val="center"/>
              <w:rPr>
                <w:rFonts w:ascii="Times New Roman" w:eastAsia="楷体" w:hAnsi="Times New Roman" w:cs="Times New Roman"/>
                <w:color w:val="000000"/>
                <w:szCs w:val="21"/>
              </w:rPr>
            </w:pPr>
            <w:r w:rsidRPr="00437BCF">
              <w:rPr>
                <w:rFonts w:ascii="Times New Roman" w:eastAsia="楷体" w:hAnsi="Times New Roman" w:cs="Times New Roman" w:hint="eastAsia"/>
                <w:color w:val="000000"/>
                <w:szCs w:val="21"/>
              </w:rPr>
              <w:t>238,004.00</w:t>
            </w:r>
          </w:p>
        </w:tc>
        <w:tc>
          <w:tcPr>
            <w:tcW w:w="1132" w:type="dxa"/>
            <w:vAlign w:val="center"/>
          </w:tcPr>
          <w:p w:rsidR="00E11869" w:rsidRPr="00437BCF" w:rsidRDefault="00437BCF">
            <w:pPr>
              <w:jc w:val="center"/>
              <w:rPr>
                <w:rFonts w:ascii="Times New Roman" w:eastAsia="楷体" w:hAnsi="Times New Roman" w:cs="Times New Roman"/>
                <w:color w:val="000000"/>
                <w:szCs w:val="21"/>
              </w:rPr>
            </w:pPr>
            <w:r w:rsidRPr="00437BCF">
              <w:rPr>
                <w:rFonts w:ascii="Times New Roman" w:eastAsia="楷体" w:hAnsi="Times New Roman" w:cs="Times New Roman" w:hint="eastAsia"/>
                <w:color w:val="000000"/>
                <w:szCs w:val="21"/>
              </w:rPr>
              <w:t>1,190.02</w:t>
            </w:r>
          </w:p>
        </w:tc>
      </w:tr>
      <w:tr w:rsidR="00E11869" w:rsidTr="00437BCF">
        <w:trPr>
          <w:trHeight w:val="427"/>
          <w:jc w:val="center"/>
        </w:trPr>
        <w:tc>
          <w:tcPr>
            <w:tcW w:w="5448" w:type="dxa"/>
            <w:vAlign w:val="center"/>
          </w:tcPr>
          <w:p w:rsidR="00E11869" w:rsidRPr="00437BCF" w:rsidRDefault="00437BCF">
            <w:pPr>
              <w:jc w:val="center"/>
              <w:rPr>
                <w:rFonts w:ascii="Times New Roman" w:eastAsia="楷体_GB2312" w:hAnsi="Times New Roman" w:cs="Times New Roman"/>
                <w:szCs w:val="21"/>
              </w:rPr>
            </w:pPr>
            <w:r w:rsidRPr="00437BCF">
              <w:rPr>
                <w:rFonts w:ascii="Times New Roman" w:eastAsia="楷体_GB2312" w:hAnsi="Times New Roman" w:cs="Times New Roman" w:hint="eastAsia"/>
                <w:szCs w:val="21"/>
              </w:rPr>
              <w:t>中金金泽量化精选混合型发起式证券投资基</w:t>
            </w:r>
            <w:bookmarkStart w:id="0" w:name="_GoBack"/>
            <w:bookmarkEnd w:id="0"/>
            <w:r w:rsidRPr="00437BCF">
              <w:rPr>
                <w:rFonts w:ascii="Times New Roman" w:eastAsia="楷体_GB2312" w:hAnsi="Times New Roman" w:cs="Times New Roman" w:hint="eastAsia"/>
                <w:szCs w:val="21"/>
              </w:rPr>
              <w:t>金</w:t>
            </w:r>
          </w:p>
        </w:tc>
        <w:tc>
          <w:tcPr>
            <w:tcW w:w="948" w:type="dxa"/>
            <w:vAlign w:val="center"/>
          </w:tcPr>
          <w:p w:rsidR="00E11869" w:rsidRPr="00437BCF" w:rsidRDefault="00437BCF">
            <w:pPr>
              <w:jc w:val="center"/>
              <w:rPr>
                <w:rFonts w:ascii="Times New Roman" w:hAnsi="Times New Roman" w:cs="Times New Roman"/>
                <w:szCs w:val="21"/>
              </w:rPr>
            </w:pPr>
            <w:r w:rsidRPr="00437BCF">
              <w:rPr>
                <w:rFonts w:ascii="Times New Roman" w:hAnsi="Times New Roman" w:cs="Times New Roman" w:hint="eastAsia"/>
                <w:szCs w:val="21"/>
              </w:rPr>
              <w:t>1,990</w:t>
            </w:r>
          </w:p>
        </w:tc>
        <w:tc>
          <w:tcPr>
            <w:tcW w:w="1312" w:type="dxa"/>
            <w:vAlign w:val="center"/>
          </w:tcPr>
          <w:p w:rsidR="00E11869" w:rsidRPr="00437BCF" w:rsidRDefault="00437BCF">
            <w:pPr>
              <w:jc w:val="center"/>
              <w:rPr>
                <w:rFonts w:ascii="Times New Roman" w:eastAsia="楷体" w:hAnsi="Times New Roman" w:cs="Times New Roman"/>
                <w:color w:val="000000"/>
                <w:szCs w:val="21"/>
              </w:rPr>
            </w:pPr>
            <w:r w:rsidRPr="00437BCF">
              <w:rPr>
                <w:rFonts w:ascii="Times New Roman" w:eastAsia="楷体" w:hAnsi="Times New Roman" w:cs="Times New Roman" w:hint="eastAsia"/>
                <w:color w:val="000000"/>
                <w:szCs w:val="21"/>
              </w:rPr>
              <w:t>238,004.00</w:t>
            </w:r>
          </w:p>
        </w:tc>
        <w:tc>
          <w:tcPr>
            <w:tcW w:w="1132" w:type="dxa"/>
            <w:vAlign w:val="center"/>
          </w:tcPr>
          <w:p w:rsidR="00E11869" w:rsidRPr="00437BCF" w:rsidRDefault="00437BCF">
            <w:pPr>
              <w:jc w:val="center"/>
              <w:rPr>
                <w:rFonts w:ascii="Times New Roman" w:eastAsia="楷体" w:hAnsi="Times New Roman" w:cs="Times New Roman"/>
                <w:color w:val="000000"/>
                <w:szCs w:val="21"/>
              </w:rPr>
            </w:pPr>
            <w:r w:rsidRPr="00437BCF">
              <w:rPr>
                <w:rFonts w:ascii="Times New Roman" w:eastAsia="楷体" w:hAnsi="Times New Roman" w:cs="Times New Roman" w:hint="eastAsia"/>
                <w:color w:val="000000"/>
                <w:szCs w:val="21"/>
              </w:rPr>
              <w:t>1,190.02</w:t>
            </w:r>
          </w:p>
        </w:tc>
      </w:tr>
      <w:tr w:rsidR="00E11869" w:rsidTr="00437BCF">
        <w:trPr>
          <w:trHeight w:val="123"/>
          <w:jc w:val="center"/>
        </w:trPr>
        <w:tc>
          <w:tcPr>
            <w:tcW w:w="5448" w:type="dxa"/>
            <w:vAlign w:val="center"/>
          </w:tcPr>
          <w:p w:rsidR="00E11869" w:rsidRPr="00437BCF" w:rsidRDefault="00437BCF">
            <w:pPr>
              <w:jc w:val="center"/>
              <w:rPr>
                <w:rFonts w:ascii="Times New Roman" w:eastAsia="楷体_GB2312" w:hAnsi="Times New Roman" w:cs="Times New Roman"/>
                <w:szCs w:val="21"/>
              </w:rPr>
            </w:pPr>
            <w:r w:rsidRPr="00437BCF">
              <w:rPr>
                <w:rFonts w:ascii="Times New Roman" w:eastAsia="楷体_GB2312" w:hAnsi="Times New Roman" w:cs="Times New Roman" w:hint="eastAsia"/>
                <w:szCs w:val="21"/>
              </w:rPr>
              <w:t>中金丰硕混合型证券投资基金</w:t>
            </w:r>
          </w:p>
        </w:tc>
        <w:tc>
          <w:tcPr>
            <w:tcW w:w="948" w:type="dxa"/>
            <w:vAlign w:val="center"/>
          </w:tcPr>
          <w:p w:rsidR="00E11869" w:rsidRPr="00437BCF" w:rsidRDefault="00437BCF">
            <w:pPr>
              <w:jc w:val="center"/>
              <w:rPr>
                <w:rFonts w:ascii="Times New Roman" w:hAnsi="Times New Roman" w:cs="Times New Roman"/>
                <w:szCs w:val="21"/>
              </w:rPr>
            </w:pPr>
            <w:r w:rsidRPr="00437BCF">
              <w:rPr>
                <w:rFonts w:ascii="Times New Roman" w:hAnsi="Times New Roman" w:cs="Times New Roman" w:hint="eastAsia"/>
                <w:szCs w:val="21"/>
              </w:rPr>
              <w:t>728</w:t>
            </w:r>
          </w:p>
        </w:tc>
        <w:tc>
          <w:tcPr>
            <w:tcW w:w="1312" w:type="dxa"/>
            <w:vAlign w:val="center"/>
          </w:tcPr>
          <w:p w:rsidR="00E11869" w:rsidRPr="00437BCF" w:rsidRDefault="00437BCF">
            <w:pPr>
              <w:jc w:val="center"/>
              <w:rPr>
                <w:rFonts w:ascii="Times New Roman" w:eastAsia="楷体" w:hAnsi="Times New Roman" w:cs="Times New Roman"/>
                <w:color w:val="000000"/>
                <w:szCs w:val="21"/>
              </w:rPr>
            </w:pPr>
            <w:r w:rsidRPr="00437BCF">
              <w:rPr>
                <w:rFonts w:ascii="Times New Roman" w:eastAsia="楷体" w:hAnsi="Times New Roman" w:cs="Times New Roman" w:hint="eastAsia"/>
                <w:color w:val="000000"/>
                <w:szCs w:val="21"/>
              </w:rPr>
              <w:t>87,068.80</w:t>
            </w:r>
          </w:p>
        </w:tc>
        <w:tc>
          <w:tcPr>
            <w:tcW w:w="1132" w:type="dxa"/>
            <w:vAlign w:val="center"/>
          </w:tcPr>
          <w:p w:rsidR="00E11869" w:rsidRPr="00437BCF" w:rsidRDefault="00437BCF">
            <w:pPr>
              <w:jc w:val="center"/>
              <w:rPr>
                <w:rFonts w:ascii="Times New Roman" w:eastAsia="楷体" w:hAnsi="Times New Roman" w:cs="Times New Roman"/>
                <w:color w:val="000000"/>
                <w:szCs w:val="21"/>
              </w:rPr>
            </w:pPr>
            <w:r w:rsidRPr="00437BCF">
              <w:rPr>
                <w:rFonts w:ascii="Times New Roman" w:eastAsia="楷体" w:hAnsi="Times New Roman" w:cs="Times New Roman" w:hint="eastAsia"/>
                <w:color w:val="000000"/>
                <w:szCs w:val="21"/>
              </w:rPr>
              <w:t>435.34</w:t>
            </w:r>
          </w:p>
        </w:tc>
      </w:tr>
    </w:tbl>
    <w:p w:rsidR="00E11869" w:rsidRDefault="00437BCF" w:rsidP="00843BC9">
      <w:pPr>
        <w:autoSpaceDE w:val="0"/>
        <w:autoSpaceDN w:val="0"/>
        <w:adjustRightInd w:val="0"/>
        <w:spacing w:beforeLines="50" w:afterLines="50"/>
        <w:ind w:firstLine="420"/>
        <w:jc w:val="left"/>
        <w:rPr>
          <w:rFonts w:ascii="Times New Roman" w:eastAsia="楷体_GB2312" w:hAnsi="Times New Roman" w:cs="Times New Roman"/>
          <w:kern w:val="0"/>
          <w:sz w:val="24"/>
          <w:szCs w:val="24"/>
        </w:rPr>
      </w:pPr>
      <w:r>
        <w:rPr>
          <w:rFonts w:ascii="Times New Roman" w:eastAsia="楷体_GB2312" w:hAnsi="Times New Roman" w:cs="Times New Roman"/>
          <w:kern w:val="0"/>
          <w:szCs w:val="24"/>
        </w:rPr>
        <w:t>注：</w:t>
      </w:r>
      <w:r>
        <w:rPr>
          <w:rFonts w:ascii="Times New Roman" w:eastAsia="楷体_GB2312" w:hAnsi="Times New Roman" w:cs="Times New Roman" w:hint="eastAsia"/>
          <w:kern w:val="0"/>
          <w:szCs w:val="24"/>
        </w:rPr>
        <w:t>上述基金新股配售经纪佣金费率为其获配金额的</w:t>
      </w:r>
      <w:r>
        <w:rPr>
          <w:rFonts w:ascii="Times New Roman" w:eastAsia="楷体_GB2312" w:hAnsi="Times New Roman" w:cs="Times New Roman" w:hint="eastAsia"/>
          <w:kern w:val="0"/>
          <w:szCs w:val="24"/>
        </w:rPr>
        <w:t>0.5%</w:t>
      </w:r>
      <w:r>
        <w:rPr>
          <w:rFonts w:ascii="Times New Roman" w:eastAsia="楷体_GB2312" w:hAnsi="Times New Roman" w:cs="Times New Roman" w:hint="eastAsia"/>
          <w:kern w:val="0"/>
          <w:szCs w:val="24"/>
        </w:rPr>
        <w:t>。</w:t>
      </w:r>
    </w:p>
    <w:p w:rsidR="00E11869" w:rsidRDefault="00437BCF" w:rsidP="00843BC9">
      <w:pPr>
        <w:autoSpaceDE w:val="0"/>
        <w:autoSpaceDN w:val="0"/>
        <w:adjustRightInd w:val="0"/>
        <w:spacing w:beforeLines="50" w:afterLines="50"/>
        <w:ind w:firstLineChars="200" w:firstLine="480"/>
        <w:jc w:val="left"/>
        <w:rPr>
          <w:rFonts w:ascii="Times New Roman" w:eastAsia="楷体_GB2312" w:hAnsi="Times New Roman" w:cs="Times New Roman"/>
          <w:kern w:val="0"/>
          <w:sz w:val="24"/>
          <w:szCs w:val="24"/>
        </w:rPr>
      </w:pPr>
      <w:r>
        <w:rPr>
          <w:rFonts w:ascii="Times New Roman" w:eastAsia="楷体_GB2312" w:hAnsi="Times New Roman" w:cs="Times New Roman"/>
          <w:kern w:val="0"/>
          <w:sz w:val="24"/>
          <w:szCs w:val="24"/>
        </w:rPr>
        <w:t>特此公告</w:t>
      </w:r>
    </w:p>
    <w:p w:rsidR="00E11869" w:rsidRDefault="00437BCF" w:rsidP="00843BC9">
      <w:pPr>
        <w:autoSpaceDE w:val="0"/>
        <w:autoSpaceDN w:val="0"/>
        <w:adjustRightInd w:val="0"/>
        <w:spacing w:beforeLines="50" w:afterLines="50"/>
        <w:ind w:firstLineChars="200" w:firstLine="480"/>
        <w:jc w:val="right"/>
        <w:rPr>
          <w:rFonts w:ascii="Times New Roman" w:eastAsia="楷体_GB2312" w:hAnsi="Times New Roman" w:cs="Times New Roman"/>
          <w:kern w:val="0"/>
          <w:sz w:val="24"/>
          <w:szCs w:val="24"/>
        </w:rPr>
      </w:pPr>
      <w:r>
        <w:rPr>
          <w:rFonts w:ascii="Times New Roman" w:eastAsia="楷体_GB2312" w:hAnsi="Times New Roman" w:cs="Times New Roman"/>
          <w:kern w:val="0"/>
          <w:sz w:val="24"/>
          <w:szCs w:val="24"/>
        </w:rPr>
        <w:t>中金基金管理有限公司</w:t>
      </w:r>
    </w:p>
    <w:p w:rsidR="00E11869" w:rsidRDefault="00437BCF" w:rsidP="00362ADC">
      <w:pPr>
        <w:spacing w:beforeLines="50" w:afterLines="50"/>
        <w:jc w:val="right"/>
      </w:pPr>
      <w:r>
        <w:rPr>
          <w:rFonts w:ascii="Times New Roman" w:eastAsia="楷体_GB2312" w:hAnsi="Times New Roman" w:cs="Times New Roman" w:hint="eastAsia"/>
          <w:kern w:val="0"/>
          <w:sz w:val="24"/>
          <w:szCs w:val="24"/>
        </w:rPr>
        <w:t>2020</w:t>
      </w:r>
      <w:r>
        <w:rPr>
          <w:rFonts w:ascii="Times New Roman" w:eastAsia="楷体_GB2312" w:hAnsi="Times New Roman" w:cs="Times New Roman"/>
          <w:kern w:val="0"/>
          <w:sz w:val="24"/>
          <w:szCs w:val="24"/>
        </w:rPr>
        <w:t>年</w:t>
      </w:r>
      <w:r>
        <w:rPr>
          <w:rFonts w:ascii="Times New Roman" w:eastAsia="楷体_GB2312" w:hAnsi="Times New Roman" w:cs="Times New Roman"/>
          <w:kern w:val="0"/>
          <w:sz w:val="24"/>
          <w:szCs w:val="24"/>
        </w:rPr>
        <w:t>9</w:t>
      </w:r>
      <w:r>
        <w:rPr>
          <w:rFonts w:ascii="Times New Roman" w:eastAsia="楷体_GB2312" w:hAnsi="Times New Roman" w:cs="Times New Roman"/>
          <w:kern w:val="0"/>
          <w:sz w:val="24"/>
          <w:szCs w:val="24"/>
        </w:rPr>
        <w:t>月</w:t>
      </w:r>
      <w:r>
        <w:rPr>
          <w:rFonts w:ascii="Times New Roman" w:eastAsia="楷体_GB2312" w:hAnsi="Times New Roman" w:cs="Times New Roman"/>
          <w:kern w:val="0"/>
          <w:sz w:val="24"/>
          <w:szCs w:val="24"/>
        </w:rPr>
        <w:t>10</w:t>
      </w:r>
      <w:r>
        <w:rPr>
          <w:rFonts w:ascii="Times New Roman" w:eastAsia="楷体_GB2312" w:hAnsi="Times New Roman" w:cs="Times New Roman"/>
          <w:kern w:val="0"/>
          <w:sz w:val="24"/>
          <w:szCs w:val="24"/>
        </w:rPr>
        <w:t>日</w:t>
      </w:r>
    </w:p>
    <w:sectPr w:rsidR="00E11869" w:rsidSect="00362A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BC9" w:rsidRDefault="00843BC9" w:rsidP="00843BC9">
      <w:r>
        <w:separator/>
      </w:r>
    </w:p>
  </w:endnote>
  <w:endnote w:type="continuationSeparator" w:id="0">
    <w:p w:rsidR="00843BC9" w:rsidRDefault="00843BC9" w:rsidP="00843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BC9" w:rsidRDefault="00843BC9" w:rsidP="00843BC9">
      <w:r>
        <w:separator/>
      </w:r>
    </w:p>
  </w:footnote>
  <w:footnote w:type="continuationSeparator" w:id="0">
    <w:p w:rsidR="00843BC9" w:rsidRDefault="00843BC9" w:rsidP="00843B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95ABD3B7"/>
    <w:rsid w:val="D5DD4C03"/>
    <w:rsid w:val="DFB755DE"/>
    <w:rsid w:val="F3DF6333"/>
    <w:rsid w:val="F7FF1200"/>
    <w:rsid w:val="FFFDF546"/>
    <w:rsid w:val="00002C5D"/>
    <w:rsid w:val="000476E7"/>
    <w:rsid w:val="00052929"/>
    <w:rsid w:val="00097A2E"/>
    <w:rsid w:val="00156FEE"/>
    <w:rsid w:val="00163C7B"/>
    <w:rsid w:val="001643C7"/>
    <w:rsid w:val="00164CA7"/>
    <w:rsid w:val="001729E7"/>
    <w:rsid w:val="00172A27"/>
    <w:rsid w:val="001E01E1"/>
    <w:rsid w:val="00211571"/>
    <w:rsid w:val="002E4436"/>
    <w:rsid w:val="002E57C9"/>
    <w:rsid w:val="00336A2F"/>
    <w:rsid w:val="00351B6D"/>
    <w:rsid w:val="00362ADC"/>
    <w:rsid w:val="0037307F"/>
    <w:rsid w:val="003730B8"/>
    <w:rsid w:val="00383D43"/>
    <w:rsid w:val="00387283"/>
    <w:rsid w:val="003B0326"/>
    <w:rsid w:val="003C49CF"/>
    <w:rsid w:val="003D07E5"/>
    <w:rsid w:val="003E2578"/>
    <w:rsid w:val="003E25DA"/>
    <w:rsid w:val="004343C7"/>
    <w:rsid w:val="00437BCF"/>
    <w:rsid w:val="00454743"/>
    <w:rsid w:val="00495039"/>
    <w:rsid w:val="004B4629"/>
    <w:rsid w:val="0052668A"/>
    <w:rsid w:val="00580073"/>
    <w:rsid w:val="006A36E9"/>
    <w:rsid w:val="006F0B07"/>
    <w:rsid w:val="00722DD4"/>
    <w:rsid w:val="007D083F"/>
    <w:rsid w:val="007F1F31"/>
    <w:rsid w:val="008320EA"/>
    <w:rsid w:val="00843BC9"/>
    <w:rsid w:val="00851B64"/>
    <w:rsid w:val="0097486C"/>
    <w:rsid w:val="009D070A"/>
    <w:rsid w:val="009F73EF"/>
    <w:rsid w:val="00A331EB"/>
    <w:rsid w:val="00A6528A"/>
    <w:rsid w:val="00A87330"/>
    <w:rsid w:val="00AC6C51"/>
    <w:rsid w:val="00B50C25"/>
    <w:rsid w:val="00B91A14"/>
    <w:rsid w:val="00B96288"/>
    <w:rsid w:val="00BB5965"/>
    <w:rsid w:val="00BB6854"/>
    <w:rsid w:val="00C10FD9"/>
    <w:rsid w:val="00C47181"/>
    <w:rsid w:val="00CA4101"/>
    <w:rsid w:val="00CB753C"/>
    <w:rsid w:val="00CD0251"/>
    <w:rsid w:val="00D26D4A"/>
    <w:rsid w:val="00D61AF3"/>
    <w:rsid w:val="00DC3E7B"/>
    <w:rsid w:val="00E11869"/>
    <w:rsid w:val="00EF1EDA"/>
    <w:rsid w:val="00F72146"/>
    <w:rsid w:val="00F9044B"/>
    <w:rsid w:val="00FF635E"/>
    <w:rsid w:val="0B7F0D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AD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362ADC"/>
    <w:rPr>
      <w:b/>
      <w:bCs/>
    </w:rPr>
  </w:style>
  <w:style w:type="paragraph" w:styleId="a4">
    <w:name w:val="annotation text"/>
    <w:basedOn w:val="a"/>
    <w:link w:val="Char0"/>
    <w:uiPriority w:val="99"/>
    <w:unhideWhenUsed/>
    <w:qFormat/>
    <w:rsid w:val="00362ADC"/>
    <w:pPr>
      <w:jc w:val="left"/>
    </w:pPr>
  </w:style>
  <w:style w:type="paragraph" w:styleId="a5">
    <w:name w:val="Balloon Text"/>
    <w:basedOn w:val="a"/>
    <w:link w:val="Char1"/>
    <w:uiPriority w:val="99"/>
    <w:unhideWhenUsed/>
    <w:qFormat/>
    <w:rsid w:val="00362ADC"/>
    <w:rPr>
      <w:sz w:val="18"/>
      <w:szCs w:val="18"/>
    </w:rPr>
  </w:style>
  <w:style w:type="paragraph" w:styleId="a6">
    <w:name w:val="footer"/>
    <w:basedOn w:val="a"/>
    <w:link w:val="Char2"/>
    <w:uiPriority w:val="99"/>
    <w:unhideWhenUsed/>
    <w:qFormat/>
    <w:rsid w:val="00362ADC"/>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362ADC"/>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362ADC"/>
    <w:rPr>
      <w:sz w:val="21"/>
      <w:szCs w:val="21"/>
    </w:rPr>
  </w:style>
  <w:style w:type="table" w:styleId="a9">
    <w:name w:val="Table Grid"/>
    <w:basedOn w:val="a1"/>
    <w:uiPriority w:val="59"/>
    <w:qFormat/>
    <w:rsid w:val="00362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5"/>
    <w:uiPriority w:val="99"/>
    <w:semiHidden/>
    <w:qFormat/>
    <w:rsid w:val="00362ADC"/>
    <w:rPr>
      <w:sz w:val="18"/>
      <w:szCs w:val="18"/>
    </w:rPr>
  </w:style>
  <w:style w:type="character" w:customStyle="1" w:styleId="Char3">
    <w:name w:val="页眉 Char"/>
    <w:basedOn w:val="a0"/>
    <w:link w:val="a7"/>
    <w:uiPriority w:val="99"/>
    <w:qFormat/>
    <w:rsid w:val="00362ADC"/>
    <w:rPr>
      <w:sz w:val="18"/>
      <w:szCs w:val="18"/>
    </w:rPr>
  </w:style>
  <w:style w:type="character" w:customStyle="1" w:styleId="Char2">
    <w:name w:val="页脚 Char"/>
    <w:basedOn w:val="a0"/>
    <w:link w:val="a6"/>
    <w:uiPriority w:val="99"/>
    <w:qFormat/>
    <w:rsid w:val="00362ADC"/>
    <w:rPr>
      <w:sz w:val="18"/>
      <w:szCs w:val="18"/>
    </w:rPr>
  </w:style>
  <w:style w:type="character" w:customStyle="1" w:styleId="Char0">
    <w:name w:val="批注文字 Char"/>
    <w:basedOn w:val="a0"/>
    <w:link w:val="a4"/>
    <w:uiPriority w:val="99"/>
    <w:semiHidden/>
    <w:qFormat/>
    <w:rsid w:val="00362ADC"/>
  </w:style>
  <w:style w:type="character" w:customStyle="1" w:styleId="Char">
    <w:name w:val="批注主题 Char"/>
    <w:basedOn w:val="Char0"/>
    <w:link w:val="a3"/>
    <w:uiPriority w:val="99"/>
    <w:semiHidden/>
    <w:qFormat/>
    <w:rsid w:val="00362A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Pr>
      <w:sz w:val="21"/>
      <w:szCs w:val="21"/>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Application>Microsoft Office Word</Application>
  <DocSecurity>4</DocSecurity>
  <Lines>7</Lines>
  <Paragraphs>2</Paragraphs>
  <ScaleCrop>false</ScaleCrop>
  <Company>HP Inc.</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SXF</dc:creator>
  <cp:lastModifiedBy>ZHONGM</cp:lastModifiedBy>
  <cp:revision>2</cp:revision>
  <cp:lastPrinted>2020-01-10T17:55:00Z</cp:lastPrinted>
  <dcterms:created xsi:type="dcterms:W3CDTF">2020-09-09T16:01:00Z</dcterms:created>
  <dcterms:modified xsi:type="dcterms:W3CDTF">2020-09-09T16:01:00Z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