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3F" w:rsidRPr="00BC30D3" w:rsidRDefault="00F61E5B" w:rsidP="00180E3F">
      <w:pPr>
        <w:jc w:val="center"/>
        <w:rPr>
          <w:rFonts w:ascii="黑体" w:eastAsia="黑体" w:hAnsi="黑体"/>
          <w:sz w:val="30"/>
          <w:szCs w:val="30"/>
        </w:rPr>
      </w:pPr>
      <w:r w:rsidRPr="00BC30D3">
        <w:rPr>
          <w:rFonts w:ascii="黑体" w:eastAsia="黑体" w:hAnsi="黑体" w:hint="eastAsia"/>
          <w:sz w:val="30"/>
          <w:szCs w:val="30"/>
        </w:rPr>
        <w:t>申万菱信基金管理有限公司</w:t>
      </w:r>
    </w:p>
    <w:p w:rsidR="001A0768" w:rsidRPr="00BC30D3" w:rsidRDefault="000363D4" w:rsidP="00180E3F">
      <w:pPr>
        <w:jc w:val="center"/>
        <w:rPr>
          <w:rFonts w:ascii="黑体" w:eastAsia="黑体" w:hAnsi="黑体"/>
          <w:sz w:val="30"/>
          <w:szCs w:val="30"/>
        </w:rPr>
      </w:pPr>
      <w:r w:rsidRPr="00BC30D3">
        <w:rPr>
          <w:rFonts w:ascii="黑体" w:eastAsia="黑体" w:hAnsi="黑体" w:hint="eastAsia"/>
          <w:sz w:val="30"/>
          <w:szCs w:val="30"/>
        </w:rPr>
        <w:t>关于</w:t>
      </w:r>
      <w:r w:rsidR="00020BCE" w:rsidRPr="00BC30D3">
        <w:rPr>
          <w:rFonts w:ascii="黑体" w:eastAsia="黑体" w:hAnsi="黑体" w:hint="eastAsia"/>
          <w:sz w:val="30"/>
          <w:szCs w:val="30"/>
        </w:rPr>
        <w:t>旗下</w:t>
      </w:r>
      <w:r w:rsidR="00BC30D3">
        <w:rPr>
          <w:rFonts w:ascii="黑体" w:eastAsia="黑体" w:hAnsi="黑体" w:hint="eastAsia"/>
          <w:sz w:val="30"/>
          <w:szCs w:val="30"/>
        </w:rPr>
        <w:t>部分基金</w:t>
      </w:r>
      <w:r w:rsidRPr="00BC30D3">
        <w:rPr>
          <w:rFonts w:ascii="黑体" w:eastAsia="黑体" w:hAnsi="黑体" w:hint="eastAsia"/>
          <w:sz w:val="30"/>
          <w:szCs w:val="30"/>
        </w:rPr>
        <w:t>新增</w:t>
      </w:r>
      <w:r w:rsidR="00B66B9A" w:rsidRPr="00B66B9A">
        <w:rPr>
          <w:rFonts w:ascii="黑体" w:eastAsia="黑体" w:hAnsi="黑体" w:hint="eastAsia"/>
          <w:sz w:val="30"/>
          <w:szCs w:val="30"/>
        </w:rPr>
        <w:t>东海证券股份有限公司</w:t>
      </w:r>
      <w:r w:rsidR="00DD779A" w:rsidRPr="00BC30D3">
        <w:rPr>
          <w:rFonts w:ascii="黑体" w:eastAsia="黑体" w:hAnsi="黑体" w:hint="eastAsia"/>
          <w:sz w:val="30"/>
          <w:szCs w:val="30"/>
        </w:rPr>
        <w:t>为</w:t>
      </w:r>
      <w:r w:rsidRPr="00BC30D3">
        <w:rPr>
          <w:rFonts w:ascii="黑体" w:eastAsia="黑体" w:hAnsi="黑体" w:hint="eastAsia"/>
          <w:sz w:val="30"/>
          <w:szCs w:val="30"/>
        </w:rPr>
        <w:t>代销机构</w:t>
      </w:r>
      <w:r w:rsidR="00111E1A">
        <w:rPr>
          <w:rFonts w:ascii="黑体" w:eastAsia="黑体" w:hAnsi="黑体" w:hint="eastAsia"/>
          <w:sz w:val="30"/>
          <w:szCs w:val="30"/>
        </w:rPr>
        <w:t>及</w:t>
      </w:r>
      <w:r w:rsidR="00DD779A" w:rsidRPr="00BC30D3">
        <w:rPr>
          <w:rFonts w:ascii="黑体" w:eastAsia="黑体" w:hAnsi="黑体" w:hint="eastAsia"/>
          <w:sz w:val="30"/>
          <w:szCs w:val="30"/>
        </w:rPr>
        <w:t>开通定期定额投资、</w:t>
      </w:r>
      <w:r w:rsidR="00EB516C" w:rsidRPr="00BC30D3">
        <w:rPr>
          <w:rFonts w:ascii="黑体" w:eastAsia="黑体" w:hAnsi="黑体" w:hint="eastAsia"/>
          <w:sz w:val="30"/>
          <w:szCs w:val="30"/>
        </w:rPr>
        <w:t>基金</w:t>
      </w:r>
      <w:r w:rsidR="00DD779A" w:rsidRPr="00BC30D3">
        <w:rPr>
          <w:rFonts w:ascii="黑体" w:eastAsia="黑体" w:hAnsi="黑体" w:hint="eastAsia"/>
          <w:sz w:val="30"/>
          <w:szCs w:val="30"/>
        </w:rPr>
        <w:t>转换业务</w:t>
      </w:r>
      <w:r w:rsidR="00AE7BCC">
        <w:rPr>
          <w:rFonts w:ascii="黑体" w:eastAsia="黑体" w:hAnsi="黑体" w:hint="eastAsia"/>
          <w:sz w:val="30"/>
          <w:szCs w:val="30"/>
        </w:rPr>
        <w:t>并开展费率优惠活动</w:t>
      </w:r>
      <w:r w:rsidRPr="00BC30D3">
        <w:rPr>
          <w:rFonts w:ascii="黑体" w:eastAsia="黑体" w:hAnsi="黑体" w:hint="eastAsia"/>
          <w:sz w:val="30"/>
          <w:szCs w:val="30"/>
        </w:rPr>
        <w:t>的公告</w:t>
      </w:r>
    </w:p>
    <w:p w:rsidR="000363D4" w:rsidRPr="001A0768" w:rsidRDefault="000363D4" w:rsidP="001A0768">
      <w:pPr>
        <w:rPr>
          <w:rFonts w:ascii="微软雅黑" w:eastAsia="微软雅黑" w:hAnsi="微软雅黑"/>
          <w:sz w:val="24"/>
          <w:szCs w:val="24"/>
        </w:rPr>
      </w:pPr>
    </w:p>
    <w:p w:rsidR="00F61E5B" w:rsidRDefault="00D81D23"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为进一步满足广大投资者的理财需求，经</w:t>
      </w:r>
      <w:r w:rsidR="001A0768" w:rsidRPr="00F61E5B">
        <w:rPr>
          <w:rFonts w:ascii="宋体" w:eastAsia="宋体" w:hAnsi="宋体" w:hint="eastAsia"/>
          <w:sz w:val="24"/>
          <w:szCs w:val="24"/>
        </w:rPr>
        <w:t>申万菱信基金管理有限公司（以下简称“本公司”）与</w:t>
      </w:r>
      <w:r w:rsidR="00B66B9A" w:rsidRPr="00B66B9A">
        <w:rPr>
          <w:rFonts w:ascii="宋体" w:eastAsia="宋体" w:hAnsi="宋体" w:hint="eastAsia"/>
          <w:sz w:val="24"/>
          <w:szCs w:val="24"/>
        </w:rPr>
        <w:t>东海证券股份有限公司</w:t>
      </w:r>
      <w:r w:rsidR="002E753A">
        <w:rPr>
          <w:rFonts w:ascii="宋体" w:eastAsia="宋体" w:hAnsi="宋体" w:hint="eastAsia"/>
          <w:sz w:val="24"/>
          <w:szCs w:val="24"/>
        </w:rPr>
        <w:t>（以下简称“</w:t>
      </w:r>
      <w:r w:rsidR="00B66B9A">
        <w:rPr>
          <w:rFonts w:ascii="宋体" w:eastAsia="宋体" w:hAnsi="宋体" w:hint="eastAsia"/>
          <w:sz w:val="24"/>
          <w:szCs w:val="24"/>
        </w:rPr>
        <w:t>东海证券</w:t>
      </w:r>
      <w:r w:rsidR="002E753A">
        <w:rPr>
          <w:rFonts w:ascii="宋体" w:eastAsia="宋体" w:hAnsi="宋体" w:hint="eastAsia"/>
          <w:sz w:val="24"/>
          <w:szCs w:val="24"/>
        </w:rPr>
        <w:t>”）</w:t>
      </w:r>
      <w:r>
        <w:rPr>
          <w:rFonts w:ascii="宋体" w:eastAsia="宋体" w:hAnsi="宋体" w:hint="eastAsia"/>
          <w:sz w:val="24"/>
          <w:szCs w:val="24"/>
        </w:rPr>
        <w:t>协商一致</w:t>
      </w:r>
      <w:r w:rsidR="001A0768" w:rsidRPr="00F61E5B">
        <w:rPr>
          <w:rFonts w:ascii="宋体" w:eastAsia="宋体" w:hAnsi="宋体" w:hint="eastAsia"/>
          <w:sz w:val="24"/>
          <w:szCs w:val="24"/>
        </w:rPr>
        <w:t>，2020年</w:t>
      </w:r>
      <w:r w:rsidR="00FB284D">
        <w:rPr>
          <w:rFonts w:ascii="宋体" w:eastAsia="宋体" w:hAnsi="宋体" w:hint="eastAsia"/>
          <w:sz w:val="24"/>
          <w:szCs w:val="24"/>
        </w:rPr>
        <w:t>9</w:t>
      </w:r>
      <w:r w:rsidR="001A0768" w:rsidRPr="00F61E5B">
        <w:rPr>
          <w:rFonts w:ascii="宋体" w:eastAsia="宋体" w:hAnsi="宋体" w:hint="eastAsia"/>
          <w:sz w:val="24"/>
          <w:szCs w:val="24"/>
        </w:rPr>
        <w:t>月</w:t>
      </w:r>
      <w:r w:rsidR="00F40A99">
        <w:rPr>
          <w:rFonts w:ascii="宋体" w:eastAsia="宋体" w:hAnsi="宋体" w:hint="eastAsia"/>
          <w:sz w:val="24"/>
          <w:szCs w:val="24"/>
        </w:rPr>
        <w:t>9</w:t>
      </w:r>
      <w:r w:rsidR="001A0768" w:rsidRPr="00F61E5B">
        <w:rPr>
          <w:rFonts w:ascii="宋体" w:eastAsia="宋体" w:hAnsi="宋体" w:hint="eastAsia"/>
          <w:sz w:val="24"/>
          <w:szCs w:val="24"/>
        </w:rPr>
        <w:t>日起，</w:t>
      </w:r>
      <w:r w:rsidR="00DD779A">
        <w:rPr>
          <w:rFonts w:ascii="宋体" w:eastAsia="宋体" w:hAnsi="宋体" w:hint="eastAsia"/>
          <w:sz w:val="24"/>
          <w:szCs w:val="24"/>
        </w:rPr>
        <w:t>本公司旗下</w:t>
      </w:r>
      <w:r w:rsidR="00BC30D3">
        <w:rPr>
          <w:rFonts w:ascii="宋体" w:eastAsia="宋体" w:hAnsi="宋体" w:hint="eastAsia"/>
          <w:sz w:val="24"/>
          <w:szCs w:val="24"/>
        </w:rPr>
        <w:t>部分基金</w:t>
      </w:r>
      <w:r w:rsidR="00DD779A">
        <w:rPr>
          <w:rFonts w:ascii="宋体" w:eastAsia="宋体" w:hAnsi="宋体" w:hint="eastAsia"/>
          <w:sz w:val="24"/>
          <w:szCs w:val="24"/>
        </w:rPr>
        <w:t>新增</w:t>
      </w:r>
      <w:r w:rsidR="00B66B9A">
        <w:rPr>
          <w:rFonts w:ascii="宋体" w:eastAsia="宋体" w:hAnsi="宋体" w:hint="eastAsia"/>
          <w:sz w:val="24"/>
          <w:szCs w:val="24"/>
        </w:rPr>
        <w:t>东海证券</w:t>
      </w:r>
      <w:r w:rsidR="00DD779A">
        <w:rPr>
          <w:rFonts w:ascii="宋体" w:eastAsia="宋体" w:hAnsi="宋体" w:hint="eastAsia"/>
          <w:sz w:val="24"/>
          <w:szCs w:val="24"/>
        </w:rPr>
        <w:t>为代销机构</w:t>
      </w:r>
      <w:r w:rsidR="00E85BED">
        <w:rPr>
          <w:rFonts w:ascii="宋体" w:eastAsia="宋体" w:hAnsi="宋体" w:hint="eastAsia"/>
          <w:sz w:val="24"/>
          <w:szCs w:val="24"/>
        </w:rPr>
        <w:t>，</w:t>
      </w:r>
      <w:r w:rsidR="00DD779A">
        <w:rPr>
          <w:rFonts w:ascii="宋体" w:eastAsia="宋体" w:hAnsi="宋体" w:hint="eastAsia"/>
          <w:sz w:val="24"/>
          <w:szCs w:val="24"/>
        </w:rPr>
        <w:t>开通</w:t>
      </w:r>
      <w:r w:rsidR="00DD779A" w:rsidRPr="00DD779A">
        <w:rPr>
          <w:rFonts w:ascii="宋体" w:eastAsia="宋体" w:hAnsi="宋体" w:hint="eastAsia"/>
          <w:sz w:val="24"/>
          <w:szCs w:val="24"/>
        </w:rPr>
        <w:t>定期定额投资、</w:t>
      </w:r>
      <w:r w:rsidR="00EB516C">
        <w:rPr>
          <w:rFonts w:ascii="宋体" w:eastAsia="宋体" w:hAnsi="宋体" w:hint="eastAsia"/>
          <w:sz w:val="24"/>
          <w:szCs w:val="24"/>
        </w:rPr>
        <w:t>基金</w:t>
      </w:r>
      <w:r w:rsidR="00DD779A" w:rsidRPr="00DD779A">
        <w:rPr>
          <w:rFonts w:ascii="宋体" w:eastAsia="宋体" w:hAnsi="宋体" w:hint="eastAsia"/>
          <w:sz w:val="24"/>
          <w:szCs w:val="24"/>
        </w:rPr>
        <w:t>转换业务</w:t>
      </w:r>
      <w:r w:rsidR="00AE7BCC">
        <w:rPr>
          <w:rFonts w:ascii="宋体" w:eastAsia="宋体" w:hAnsi="宋体" w:hint="eastAsia"/>
          <w:sz w:val="24"/>
          <w:szCs w:val="24"/>
        </w:rPr>
        <w:t>，</w:t>
      </w:r>
      <w:r w:rsidR="00E85BED">
        <w:rPr>
          <w:rFonts w:ascii="宋体" w:eastAsia="宋体" w:hAnsi="宋体" w:hint="eastAsia"/>
          <w:sz w:val="24"/>
          <w:szCs w:val="24"/>
        </w:rPr>
        <w:t>同时</w:t>
      </w:r>
      <w:r w:rsidR="00AE7BCC">
        <w:rPr>
          <w:rFonts w:ascii="宋体" w:eastAsia="宋体" w:hAnsi="宋体" w:hint="eastAsia"/>
          <w:sz w:val="24"/>
          <w:szCs w:val="24"/>
        </w:rPr>
        <w:t>参加</w:t>
      </w:r>
      <w:r w:rsidR="00B66B9A">
        <w:rPr>
          <w:rFonts w:ascii="宋体" w:eastAsia="宋体" w:hAnsi="宋体" w:hint="eastAsia"/>
          <w:sz w:val="24"/>
          <w:szCs w:val="24"/>
        </w:rPr>
        <w:t>东海证券</w:t>
      </w:r>
      <w:r w:rsidR="00AE7BCC">
        <w:rPr>
          <w:rFonts w:ascii="宋体" w:eastAsia="宋体" w:hAnsi="宋体" w:hint="eastAsia"/>
          <w:sz w:val="24"/>
          <w:szCs w:val="24"/>
        </w:rPr>
        <w:t>开展的基金申购费率优惠活动</w:t>
      </w:r>
      <w:r w:rsidR="00180E3F">
        <w:rPr>
          <w:rFonts w:ascii="宋体" w:eastAsia="宋体" w:hAnsi="宋体" w:hint="eastAsia"/>
          <w:sz w:val="24"/>
          <w:szCs w:val="24"/>
        </w:rPr>
        <w:t>。详情如下：</w:t>
      </w:r>
    </w:p>
    <w:p w:rsidR="00BC6082" w:rsidRDefault="001A0768" w:rsidP="00967E44">
      <w:pPr>
        <w:pStyle w:val="aa"/>
        <w:numPr>
          <w:ilvl w:val="0"/>
          <w:numId w:val="12"/>
        </w:numPr>
        <w:spacing w:beforeLines="50" w:line="360" w:lineRule="auto"/>
        <w:ind w:firstLineChars="0"/>
        <w:rPr>
          <w:rFonts w:ascii="宋体" w:eastAsia="宋体" w:hAnsi="宋体"/>
          <w:sz w:val="24"/>
          <w:szCs w:val="24"/>
        </w:rPr>
        <w:pPrChange w:id="0" w:author="ZHONGM" w:date="2020-09-03T00:00:00Z">
          <w:pPr>
            <w:pStyle w:val="aa"/>
            <w:numPr>
              <w:numId w:val="12"/>
            </w:numPr>
            <w:spacing w:beforeLines="50" w:line="360" w:lineRule="auto"/>
            <w:ind w:left="720" w:firstLineChars="0" w:hanging="720"/>
          </w:pPr>
        </w:pPrChange>
      </w:pPr>
      <w:r w:rsidRPr="00D03464">
        <w:rPr>
          <w:rFonts w:ascii="宋体" w:eastAsia="宋体" w:hAnsi="宋体" w:hint="eastAsia"/>
          <w:sz w:val="24"/>
          <w:szCs w:val="24"/>
        </w:rPr>
        <w:t>适用基金范围</w:t>
      </w:r>
    </w:p>
    <w:tbl>
      <w:tblPr>
        <w:tblW w:w="7953" w:type="dxa"/>
        <w:tblInd w:w="93" w:type="dxa"/>
        <w:tblLayout w:type="fixed"/>
        <w:tblLook w:val="04A0"/>
      </w:tblPr>
      <w:tblGrid>
        <w:gridCol w:w="5544"/>
        <w:gridCol w:w="1559"/>
        <w:gridCol w:w="850"/>
      </w:tblGrid>
      <w:tr w:rsidR="00755B93" w:rsidRPr="00755B93" w:rsidTr="000A036D">
        <w:trPr>
          <w:trHeight w:val="285"/>
        </w:trPr>
        <w:tc>
          <w:tcPr>
            <w:tcW w:w="5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基金名称</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基金代码</w:t>
            </w:r>
          </w:p>
        </w:tc>
        <w:tc>
          <w:tcPr>
            <w:tcW w:w="850" w:type="dxa"/>
            <w:tcBorders>
              <w:top w:val="single" w:sz="8" w:space="0" w:color="auto"/>
              <w:left w:val="nil"/>
              <w:bottom w:val="single" w:sz="8" w:space="0" w:color="auto"/>
              <w:right w:val="single" w:sz="8" w:space="0" w:color="auto"/>
            </w:tcBorders>
          </w:tcPr>
          <w:p w:rsidR="00755B93" w:rsidRPr="00755B93" w:rsidRDefault="00755B93" w:rsidP="00755B93">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TA类别</w:t>
            </w: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申万菱信新能源汽车主题灵活配置混合型证券投资基金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001156</w:t>
            </w:r>
          </w:p>
        </w:tc>
        <w:tc>
          <w:tcPr>
            <w:tcW w:w="850" w:type="dxa"/>
            <w:vMerge w:val="restart"/>
            <w:tcBorders>
              <w:top w:val="nil"/>
              <w:left w:val="nil"/>
              <w:right w:val="single" w:sz="8" w:space="0" w:color="auto"/>
            </w:tcBorders>
            <w:vAlign w:val="center"/>
          </w:tcPr>
          <w:p w:rsidR="000A036D" w:rsidRPr="00755B93" w:rsidRDefault="000A036D" w:rsidP="00755B93">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自建TA</w:t>
            </w: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申万菱信量化成长混合型证券投资基金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004135</w:t>
            </w:r>
          </w:p>
        </w:tc>
        <w:tc>
          <w:tcPr>
            <w:tcW w:w="850" w:type="dxa"/>
            <w:vMerge/>
            <w:tcBorders>
              <w:left w:val="nil"/>
              <w:right w:val="single" w:sz="8" w:space="0" w:color="auto"/>
            </w:tcBorders>
          </w:tcPr>
          <w:p w:rsidR="000A036D" w:rsidRPr="00755B93" w:rsidRDefault="000A036D" w:rsidP="00755B93">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申万菱信价值优先混合型证券投资基金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004769</w:t>
            </w:r>
          </w:p>
        </w:tc>
        <w:tc>
          <w:tcPr>
            <w:tcW w:w="850" w:type="dxa"/>
            <w:vMerge/>
            <w:tcBorders>
              <w:left w:val="nil"/>
              <w:right w:val="single" w:sz="8" w:space="0" w:color="auto"/>
            </w:tcBorders>
          </w:tcPr>
          <w:p w:rsidR="000A036D" w:rsidRPr="00755B93" w:rsidRDefault="000A036D" w:rsidP="00755B93">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申万菱信价值优利混合型证券投资基金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004951</w:t>
            </w:r>
          </w:p>
        </w:tc>
        <w:tc>
          <w:tcPr>
            <w:tcW w:w="850" w:type="dxa"/>
            <w:vMerge/>
            <w:tcBorders>
              <w:left w:val="nil"/>
              <w:right w:val="single" w:sz="8" w:space="0" w:color="auto"/>
            </w:tcBorders>
          </w:tcPr>
          <w:p w:rsidR="000A036D" w:rsidRPr="00755B93" w:rsidRDefault="000A036D" w:rsidP="00755B93">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申万菱信行业轮动股票型证券投资基金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005009</w:t>
            </w:r>
          </w:p>
        </w:tc>
        <w:tc>
          <w:tcPr>
            <w:tcW w:w="850" w:type="dxa"/>
            <w:vMerge/>
            <w:tcBorders>
              <w:left w:val="nil"/>
              <w:right w:val="single" w:sz="8" w:space="0" w:color="auto"/>
            </w:tcBorders>
          </w:tcPr>
          <w:p w:rsidR="000A036D" w:rsidRPr="00755B93" w:rsidRDefault="000A036D" w:rsidP="00755B93">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申万菱信量化驱动混合型证券投资基金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005418</w:t>
            </w:r>
          </w:p>
        </w:tc>
        <w:tc>
          <w:tcPr>
            <w:tcW w:w="850" w:type="dxa"/>
            <w:vMerge/>
            <w:tcBorders>
              <w:left w:val="nil"/>
              <w:right w:val="single" w:sz="8" w:space="0" w:color="auto"/>
            </w:tcBorders>
          </w:tcPr>
          <w:p w:rsidR="000A036D" w:rsidRPr="00755B93" w:rsidRDefault="000A036D" w:rsidP="00755B93">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申万菱信智能驱动股票型证券投资基金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005825</w:t>
            </w:r>
          </w:p>
        </w:tc>
        <w:tc>
          <w:tcPr>
            <w:tcW w:w="850" w:type="dxa"/>
            <w:vMerge/>
            <w:tcBorders>
              <w:left w:val="nil"/>
              <w:right w:val="single" w:sz="8" w:space="0" w:color="auto"/>
            </w:tcBorders>
          </w:tcPr>
          <w:p w:rsidR="000A036D" w:rsidRPr="00755B93" w:rsidRDefault="000A036D" w:rsidP="00755B93">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申万菱信量化对冲策略灵活配置混合型发起式证券投资基金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008895</w:t>
            </w:r>
          </w:p>
        </w:tc>
        <w:tc>
          <w:tcPr>
            <w:tcW w:w="850" w:type="dxa"/>
            <w:vMerge/>
            <w:tcBorders>
              <w:left w:val="nil"/>
              <w:right w:val="single" w:sz="8" w:space="0" w:color="auto"/>
            </w:tcBorders>
          </w:tcPr>
          <w:p w:rsidR="000A036D" w:rsidRPr="00755B93" w:rsidRDefault="000A036D" w:rsidP="00755B93">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申万菱信创业板量化精选股票型证券投资基金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009557</w:t>
            </w:r>
          </w:p>
        </w:tc>
        <w:tc>
          <w:tcPr>
            <w:tcW w:w="850" w:type="dxa"/>
            <w:vMerge/>
            <w:tcBorders>
              <w:left w:val="nil"/>
              <w:right w:val="single" w:sz="8" w:space="0" w:color="auto"/>
            </w:tcBorders>
          </w:tcPr>
          <w:p w:rsidR="000A036D" w:rsidRPr="00755B93" w:rsidRDefault="000A036D" w:rsidP="00755B93">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申万菱信盛利精选证券投资基金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310308</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申万菱信新动力混合型证券投资基金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310328</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申万菱信新经济混合型证券投资基金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310358</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申万菱信竞争优势混合型证券投资基金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310368</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申万菱信消费增长混合型证券投资基金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310388</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申万菱信稳益宝债券型证券投资基金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310508</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申万菱信可转换债券债券型证券投资基金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310518</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申万菱信多策略灵活配置混合型证券投资基金(A/C)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001148/001724</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申万菱信安鑫回报灵活配置混合型证券投资基金(A/C)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001201/001727</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申万菱信中证500指数增强型证券投资基金(A/C)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002510/007795</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申万菱信安鑫优选混合型证券投资基金(A/C)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003493/003512</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申万菱信安鑫精选混合型证券投资基金(A/C)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003601/003602</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申万菱信中证500指数优选增强型证券投资基金(A/C)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003986/007794</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申万菱信安泰惠利纯债债券型证券投资基金(A/C)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005936/005990</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申万菱信安泰丰利债券型证券投资基金(A/C)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007391/007392</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lastRenderedPageBreak/>
              <w:t>申万菱信中证研发创新100交易型开放式指数证券投资基金联接基金(A/C)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007983/007984</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申万菱信沪深300指数增强型证券投资基金(A/C)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310318/007804</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申万菱信收益宝货币市场基金(A/B)</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310338/310339</w:t>
            </w:r>
          </w:p>
        </w:tc>
        <w:tc>
          <w:tcPr>
            <w:tcW w:w="850" w:type="dxa"/>
            <w:vMerge/>
            <w:tcBorders>
              <w:left w:val="nil"/>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0A036D"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申万菱信沪深300价值指数型证券投资基金(A/C)</w:t>
            </w:r>
          </w:p>
        </w:tc>
        <w:tc>
          <w:tcPr>
            <w:tcW w:w="1559" w:type="dxa"/>
            <w:tcBorders>
              <w:top w:val="nil"/>
              <w:left w:val="nil"/>
              <w:bottom w:val="single" w:sz="8" w:space="0" w:color="auto"/>
              <w:right w:val="single" w:sz="8" w:space="0" w:color="auto"/>
            </w:tcBorders>
            <w:shd w:val="clear" w:color="auto" w:fill="auto"/>
            <w:noWrap/>
            <w:vAlign w:val="center"/>
            <w:hideMark/>
          </w:tcPr>
          <w:p w:rsidR="000A036D" w:rsidRPr="00755B93" w:rsidRDefault="000A036D"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310398/007800</w:t>
            </w:r>
          </w:p>
        </w:tc>
        <w:tc>
          <w:tcPr>
            <w:tcW w:w="850" w:type="dxa"/>
            <w:vMerge/>
            <w:tcBorders>
              <w:left w:val="nil"/>
              <w:bottom w:val="single" w:sz="8" w:space="0" w:color="auto"/>
              <w:right w:val="single" w:sz="8" w:space="0" w:color="auto"/>
            </w:tcBorders>
          </w:tcPr>
          <w:p w:rsidR="000A036D" w:rsidRPr="00755B93" w:rsidRDefault="000A036D" w:rsidP="00D56E8B">
            <w:pPr>
              <w:widowControl/>
              <w:jc w:val="center"/>
              <w:rPr>
                <w:rFonts w:ascii="宋体" w:eastAsia="宋体" w:hAnsi="宋体" w:cs="宋体"/>
                <w:color w:val="000000"/>
                <w:kern w:val="0"/>
                <w:sz w:val="20"/>
              </w:rPr>
            </w:pPr>
          </w:p>
        </w:tc>
      </w:tr>
      <w:tr w:rsidR="00755B93"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申万菱信深证成指分级证券投资基金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163109</w:t>
            </w:r>
          </w:p>
        </w:tc>
        <w:tc>
          <w:tcPr>
            <w:tcW w:w="850" w:type="dxa"/>
            <w:vMerge w:val="restart"/>
            <w:tcBorders>
              <w:top w:val="nil"/>
              <w:left w:val="nil"/>
              <w:right w:val="single" w:sz="8" w:space="0" w:color="auto"/>
            </w:tcBorders>
            <w:vAlign w:val="center"/>
          </w:tcPr>
          <w:p w:rsidR="00755B93" w:rsidRPr="00755B93" w:rsidRDefault="00755B93" w:rsidP="00755B93">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中登TA</w:t>
            </w:r>
          </w:p>
        </w:tc>
      </w:tr>
      <w:tr w:rsidR="00755B93"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申万菱信量化小盘股票型证券投资基金（LOF）</w:t>
            </w:r>
          </w:p>
        </w:tc>
        <w:tc>
          <w:tcPr>
            <w:tcW w:w="1559" w:type="dxa"/>
            <w:tcBorders>
              <w:top w:val="nil"/>
              <w:left w:val="nil"/>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163110</w:t>
            </w:r>
          </w:p>
        </w:tc>
        <w:tc>
          <w:tcPr>
            <w:tcW w:w="850" w:type="dxa"/>
            <w:vMerge/>
            <w:tcBorders>
              <w:left w:val="nil"/>
              <w:right w:val="single" w:sz="8" w:space="0" w:color="auto"/>
            </w:tcBorders>
          </w:tcPr>
          <w:p w:rsidR="00755B93" w:rsidRPr="00755B93" w:rsidRDefault="00755B93" w:rsidP="00755B93">
            <w:pPr>
              <w:widowControl/>
              <w:jc w:val="center"/>
              <w:rPr>
                <w:rFonts w:ascii="宋体" w:eastAsia="宋体" w:hAnsi="宋体" w:cs="宋体"/>
                <w:color w:val="000000"/>
                <w:kern w:val="0"/>
                <w:sz w:val="20"/>
              </w:rPr>
            </w:pPr>
          </w:p>
        </w:tc>
      </w:tr>
      <w:tr w:rsidR="00755B93"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申万菱信中证申万证券行业指数分级证券投资基金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163113</w:t>
            </w:r>
          </w:p>
        </w:tc>
        <w:tc>
          <w:tcPr>
            <w:tcW w:w="850" w:type="dxa"/>
            <w:vMerge/>
            <w:tcBorders>
              <w:left w:val="nil"/>
              <w:right w:val="single" w:sz="8" w:space="0" w:color="auto"/>
            </w:tcBorders>
          </w:tcPr>
          <w:p w:rsidR="00755B93" w:rsidRPr="00755B93" w:rsidRDefault="00755B93" w:rsidP="00755B93">
            <w:pPr>
              <w:widowControl/>
              <w:jc w:val="center"/>
              <w:rPr>
                <w:rFonts w:ascii="宋体" w:eastAsia="宋体" w:hAnsi="宋体" w:cs="宋体"/>
                <w:color w:val="000000"/>
                <w:kern w:val="0"/>
                <w:sz w:val="20"/>
              </w:rPr>
            </w:pPr>
          </w:p>
        </w:tc>
      </w:tr>
      <w:tr w:rsidR="00755B93"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申万菱信中证环保产业指数分级证券投资基金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163114</w:t>
            </w:r>
          </w:p>
        </w:tc>
        <w:tc>
          <w:tcPr>
            <w:tcW w:w="850" w:type="dxa"/>
            <w:vMerge/>
            <w:tcBorders>
              <w:left w:val="nil"/>
              <w:right w:val="single" w:sz="8" w:space="0" w:color="auto"/>
            </w:tcBorders>
          </w:tcPr>
          <w:p w:rsidR="00755B93" w:rsidRPr="00755B93" w:rsidRDefault="00755B93" w:rsidP="00755B93">
            <w:pPr>
              <w:widowControl/>
              <w:jc w:val="center"/>
              <w:rPr>
                <w:rFonts w:ascii="宋体" w:eastAsia="宋体" w:hAnsi="宋体" w:cs="宋体"/>
                <w:color w:val="000000"/>
                <w:kern w:val="0"/>
                <w:sz w:val="20"/>
              </w:rPr>
            </w:pPr>
          </w:p>
        </w:tc>
      </w:tr>
      <w:tr w:rsidR="00755B93"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申万菱信中证军工指数分级证券投资基金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163115</w:t>
            </w:r>
          </w:p>
        </w:tc>
        <w:tc>
          <w:tcPr>
            <w:tcW w:w="850" w:type="dxa"/>
            <w:vMerge/>
            <w:tcBorders>
              <w:left w:val="nil"/>
              <w:right w:val="single" w:sz="8" w:space="0" w:color="auto"/>
            </w:tcBorders>
          </w:tcPr>
          <w:p w:rsidR="00755B93" w:rsidRPr="00755B93" w:rsidRDefault="00755B93" w:rsidP="00755B93">
            <w:pPr>
              <w:widowControl/>
              <w:jc w:val="center"/>
              <w:rPr>
                <w:rFonts w:ascii="宋体" w:eastAsia="宋体" w:hAnsi="宋体" w:cs="宋体"/>
                <w:color w:val="000000"/>
                <w:kern w:val="0"/>
                <w:sz w:val="20"/>
              </w:rPr>
            </w:pPr>
          </w:p>
        </w:tc>
      </w:tr>
      <w:tr w:rsidR="00755B93" w:rsidRPr="00755B93" w:rsidTr="000A036D">
        <w:trPr>
          <w:trHeight w:val="43"/>
        </w:trPr>
        <w:tc>
          <w:tcPr>
            <w:tcW w:w="5544" w:type="dxa"/>
            <w:tcBorders>
              <w:top w:val="nil"/>
              <w:left w:val="single" w:sz="8" w:space="0" w:color="auto"/>
              <w:bottom w:val="single" w:sz="8" w:space="0" w:color="auto"/>
              <w:right w:val="single" w:sz="8" w:space="0" w:color="auto"/>
            </w:tcBorders>
            <w:shd w:val="clear" w:color="auto" w:fill="auto"/>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申万菱信中证申万电子行业投资指数分级证券投资基金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163116</w:t>
            </w:r>
          </w:p>
        </w:tc>
        <w:tc>
          <w:tcPr>
            <w:tcW w:w="850" w:type="dxa"/>
            <w:vMerge/>
            <w:tcBorders>
              <w:left w:val="nil"/>
              <w:right w:val="single" w:sz="8" w:space="0" w:color="auto"/>
            </w:tcBorders>
          </w:tcPr>
          <w:p w:rsidR="00755B93" w:rsidRPr="00755B93" w:rsidRDefault="00755B93" w:rsidP="00755B93">
            <w:pPr>
              <w:widowControl/>
              <w:jc w:val="center"/>
              <w:rPr>
                <w:rFonts w:ascii="宋体" w:eastAsia="宋体" w:hAnsi="宋体" w:cs="宋体"/>
                <w:color w:val="000000"/>
                <w:kern w:val="0"/>
                <w:sz w:val="20"/>
              </w:rPr>
            </w:pPr>
          </w:p>
        </w:tc>
      </w:tr>
      <w:tr w:rsidR="00755B93" w:rsidRPr="00755B93" w:rsidTr="000A036D">
        <w:trPr>
          <w:trHeight w:val="141"/>
        </w:trPr>
        <w:tc>
          <w:tcPr>
            <w:tcW w:w="5544" w:type="dxa"/>
            <w:tcBorders>
              <w:top w:val="nil"/>
              <w:left w:val="single" w:sz="8" w:space="0" w:color="auto"/>
              <w:bottom w:val="single" w:sz="8" w:space="0" w:color="auto"/>
              <w:right w:val="single" w:sz="8" w:space="0" w:color="auto"/>
            </w:tcBorders>
            <w:shd w:val="clear" w:color="auto" w:fill="auto"/>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申万菱信中证申万医药生物指数分级证券投资基金</w:t>
            </w:r>
          </w:p>
        </w:tc>
        <w:tc>
          <w:tcPr>
            <w:tcW w:w="1559" w:type="dxa"/>
            <w:tcBorders>
              <w:top w:val="nil"/>
              <w:left w:val="nil"/>
              <w:bottom w:val="single" w:sz="8" w:space="0" w:color="auto"/>
              <w:right w:val="single" w:sz="8" w:space="0" w:color="auto"/>
            </w:tcBorders>
            <w:shd w:val="clear" w:color="auto" w:fill="auto"/>
            <w:noWrap/>
            <w:vAlign w:val="center"/>
            <w:hideMark/>
          </w:tcPr>
          <w:p w:rsidR="00755B93" w:rsidRPr="00755B93" w:rsidRDefault="00755B93" w:rsidP="00755B93">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163118</w:t>
            </w:r>
          </w:p>
        </w:tc>
        <w:tc>
          <w:tcPr>
            <w:tcW w:w="850" w:type="dxa"/>
            <w:vMerge/>
            <w:tcBorders>
              <w:left w:val="nil"/>
              <w:right w:val="single" w:sz="8" w:space="0" w:color="auto"/>
            </w:tcBorders>
          </w:tcPr>
          <w:p w:rsidR="00755B93" w:rsidRPr="00755B93" w:rsidRDefault="00755B93" w:rsidP="00755B93">
            <w:pPr>
              <w:widowControl/>
              <w:jc w:val="center"/>
              <w:rPr>
                <w:rFonts w:ascii="宋体" w:eastAsia="宋体" w:hAnsi="宋体" w:cs="宋体"/>
                <w:color w:val="000000"/>
                <w:kern w:val="0"/>
                <w:sz w:val="20"/>
              </w:rPr>
            </w:pPr>
          </w:p>
        </w:tc>
      </w:tr>
      <w:tr w:rsidR="00755B93" w:rsidRPr="00755B93" w:rsidTr="000A036D">
        <w:trPr>
          <w:trHeight w:val="285"/>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755B93" w:rsidRPr="00755B93" w:rsidRDefault="00755B93"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申万菱信中小板指数证券投资基金（LOF）(A/C)</w:t>
            </w:r>
          </w:p>
        </w:tc>
        <w:tc>
          <w:tcPr>
            <w:tcW w:w="1559" w:type="dxa"/>
            <w:tcBorders>
              <w:top w:val="nil"/>
              <w:left w:val="nil"/>
              <w:bottom w:val="single" w:sz="8" w:space="0" w:color="auto"/>
              <w:right w:val="single" w:sz="8" w:space="0" w:color="auto"/>
            </w:tcBorders>
            <w:shd w:val="clear" w:color="auto" w:fill="auto"/>
            <w:noWrap/>
            <w:vAlign w:val="center"/>
            <w:hideMark/>
          </w:tcPr>
          <w:p w:rsidR="00755B93" w:rsidRPr="00755B93" w:rsidRDefault="00755B93" w:rsidP="00D56E8B">
            <w:pPr>
              <w:widowControl/>
              <w:jc w:val="center"/>
              <w:rPr>
                <w:rFonts w:ascii="宋体" w:eastAsia="宋体" w:hAnsi="宋体" w:cs="宋体"/>
                <w:color w:val="000000"/>
                <w:kern w:val="0"/>
                <w:sz w:val="20"/>
              </w:rPr>
            </w:pPr>
            <w:r w:rsidRPr="00755B93">
              <w:rPr>
                <w:rFonts w:ascii="宋体" w:eastAsia="宋体" w:hAnsi="宋体" w:cs="宋体" w:hint="eastAsia"/>
                <w:color w:val="000000"/>
                <w:kern w:val="0"/>
                <w:sz w:val="20"/>
              </w:rPr>
              <w:t>163111/007799</w:t>
            </w:r>
          </w:p>
        </w:tc>
        <w:tc>
          <w:tcPr>
            <w:tcW w:w="850" w:type="dxa"/>
            <w:vMerge/>
            <w:tcBorders>
              <w:left w:val="nil"/>
              <w:bottom w:val="single" w:sz="8" w:space="0" w:color="auto"/>
              <w:right w:val="single" w:sz="8" w:space="0" w:color="auto"/>
            </w:tcBorders>
          </w:tcPr>
          <w:p w:rsidR="00755B93" w:rsidRPr="00755B93" w:rsidRDefault="00755B93" w:rsidP="00D56E8B">
            <w:pPr>
              <w:widowControl/>
              <w:jc w:val="center"/>
              <w:rPr>
                <w:rFonts w:ascii="宋体" w:eastAsia="宋体" w:hAnsi="宋体" w:cs="宋体"/>
                <w:color w:val="000000"/>
                <w:kern w:val="0"/>
                <w:sz w:val="20"/>
              </w:rPr>
            </w:pPr>
          </w:p>
        </w:tc>
      </w:tr>
    </w:tbl>
    <w:p w:rsidR="000A036D" w:rsidRPr="000A036D" w:rsidRDefault="000A036D" w:rsidP="000A036D">
      <w:pPr>
        <w:spacing w:line="360" w:lineRule="auto"/>
        <w:rPr>
          <w:rFonts w:ascii="宋体" w:eastAsia="宋体" w:hAnsi="宋体"/>
          <w:sz w:val="16"/>
          <w:szCs w:val="24"/>
        </w:rPr>
      </w:pPr>
    </w:p>
    <w:p w:rsidR="000B5D3F" w:rsidRPr="00D03464" w:rsidRDefault="000B5D3F" w:rsidP="00967E44">
      <w:pPr>
        <w:pStyle w:val="aa"/>
        <w:numPr>
          <w:ilvl w:val="0"/>
          <w:numId w:val="12"/>
        </w:numPr>
        <w:spacing w:beforeLines="50" w:line="360" w:lineRule="auto"/>
        <w:ind w:firstLineChars="0"/>
        <w:rPr>
          <w:rFonts w:ascii="宋体" w:eastAsia="宋体" w:hAnsi="宋体"/>
          <w:sz w:val="24"/>
          <w:szCs w:val="24"/>
        </w:rPr>
        <w:pPrChange w:id="1" w:author="ZHONGM" w:date="2020-09-03T00:00:00Z">
          <w:pPr>
            <w:pStyle w:val="aa"/>
            <w:numPr>
              <w:numId w:val="12"/>
            </w:numPr>
            <w:spacing w:beforeLines="50" w:line="360" w:lineRule="auto"/>
            <w:ind w:left="720" w:firstLineChars="0" w:hanging="720"/>
          </w:pPr>
        </w:pPrChange>
      </w:pPr>
      <w:r w:rsidRPr="00D03464">
        <w:rPr>
          <w:rFonts w:ascii="宋体" w:eastAsia="宋体" w:hAnsi="宋体" w:hint="eastAsia"/>
          <w:sz w:val="24"/>
          <w:szCs w:val="24"/>
        </w:rPr>
        <w:t>新增代销机构</w:t>
      </w:r>
      <w:bookmarkStart w:id="2" w:name="_GoBack"/>
      <w:bookmarkEnd w:id="2"/>
    </w:p>
    <w:p w:rsidR="00DE498C" w:rsidRDefault="00DD779A" w:rsidP="00DD779A">
      <w:pPr>
        <w:spacing w:line="360" w:lineRule="auto"/>
        <w:ind w:firstLineChars="200" w:firstLine="480"/>
        <w:rPr>
          <w:rFonts w:ascii="宋体" w:eastAsia="宋体" w:hAnsi="宋体"/>
          <w:sz w:val="24"/>
          <w:szCs w:val="24"/>
        </w:rPr>
      </w:pPr>
      <w:r>
        <w:rPr>
          <w:rFonts w:ascii="宋体" w:eastAsia="宋体" w:hAnsi="宋体" w:hint="eastAsia"/>
          <w:sz w:val="24"/>
          <w:szCs w:val="24"/>
        </w:rPr>
        <w:t>自</w:t>
      </w:r>
      <w:r w:rsidR="002E753A" w:rsidRPr="00F61E5B">
        <w:rPr>
          <w:rFonts w:ascii="宋体" w:eastAsia="宋体" w:hAnsi="宋体" w:hint="eastAsia"/>
          <w:sz w:val="24"/>
          <w:szCs w:val="24"/>
        </w:rPr>
        <w:t>2020年</w:t>
      </w:r>
      <w:r w:rsidR="00D81D23">
        <w:rPr>
          <w:rFonts w:ascii="宋体" w:eastAsia="宋体" w:hAnsi="宋体" w:hint="eastAsia"/>
          <w:sz w:val="24"/>
          <w:szCs w:val="24"/>
        </w:rPr>
        <w:t>9</w:t>
      </w:r>
      <w:r w:rsidR="002E753A" w:rsidRPr="00F61E5B">
        <w:rPr>
          <w:rFonts w:ascii="宋体" w:eastAsia="宋体" w:hAnsi="宋体" w:hint="eastAsia"/>
          <w:sz w:val="24"/>
          <w:szCs w:val="24"/>
        </w:rPr>
        <w:t>月</w:t>
      </w:r>
      <w:r w:rsidR="00F40A99">
        <w:rPr>
          <w:rFonts w:ascii="宋体" w:eastAsia="宋体" w:hAnsi="宋体" w:hint="eastAsia"/>
          <w:sz w:val="24"/>
          <w:szCs w:val="24"/>
        </w:rPr>
        <w:t>9</w:t>
      </w:r>
      <w:r w:rsidR="002E753A" w:rsidRPr="00F61E5B">
        <w:rPr>
          <w:rFonts w:ascii="宋体" w:eastAsia="宋体" w:hAnsi="宋体" w:hint="eastAsia"/>
          <w:sz w:val="24"/>
          <w:szCs w:val="24"/>
        </w:rPr>
        <w:t>日起</w:t>
      </w:r>
      <w:r w:rsidR="002E753A">
        <w:rPr>
          <w:rFonts w:ascii="宋体" w:eastAsia="宋体" w:hAnsi="宋体" w:hint="eastAsia"/>
          <w:sz w:val="24"/>
          <w:szCs w:val="24"/>
        </w:rPr>
        <w:t>,</w:t>
      </w:r>
      <w:r w:rsidR="00375DC5">
        <w:rPr>
          <w:rFonts w:ascii="宋体" w:eastAsia="宋体" w:hAnsi="宋体" w:hint="eastAsia"/>
          <w:sz w:val="24"/>
          <w:szCs w:val="24"/>
        </w:rPr>
        <w:t>投资者可</w:t>
      </w:r>
      <w:r w:rsidR="002E753A">
        <w:rPr>
          <w:rFonts w:ascii="宋体" w:eastAsia="宋体" w:hAnsi="宋体" w:hint="eastAsia"/>
          <w:sz w:val="24"/>
          <w:szCs w:val="24"/>
        </w:rPr>
        <w:t>通过</w:t>
      </w:r>
      <w:r w:rsidR="00B66B9A">
        <w:rPr>
          <w:rFonts w:ascii="宋体" w:eastAsia="宋体" w:hAnsi="宋体" w:hint="eastAsia"/>
          <w:sz w:val="24"/>
          <w:szCs w:val="24"/>
        </w:rPr>
        <w:t>东海证券</w:t>
      </w:r>
      <w:r w:rsidR="002E753A">
        <w:rPr>
          <w:rFonts w:ascii="宋体" w:eastAsia="宋体" w:hAnsi="宋体" w:hint="eastAsia"/>
          <w:sz w:val="24"/>
          <w:szCs w:val="24"/>
        </w:rPr>
        <w:t>办理上述</w:t>
      </w:r>
      <w:r>
        <w:rPr>
          <w:rFonts w:ascii="宋体" w:eastAsia="宋体" w:hAnsi="宋体" w:hint="eastAsia"/>
          <w:sz w:val="24"/>
          <w:szCs w:val="24"/>
        </w:rPr>
        <w:t>基金</w:t>
      </w:r>
      <w:r w:rsidR="002E753A">
        <w:rPr>
          <w:rFonts w:ascii="宋体" w:eastAsia="宋体" w:hAnsi="宋体" w:hint="eastAsia"/>
          <w:sz w:val="24"/>
          <w:szCs w:val="24"/>
        </w:rPr>
        <w:t>的申购</w:t>
      </w:r>
      <w:r w:rsidR="00054716">
        <w:rPr>
          <w:rFonts w:ascii="宋体" w:eastAsia="宋体" w:hAnsi="宋体" w:hint="eastAsia"/>
          <w:sz w:val="24"/>
          <w:szCs w:val="24"/>
        </w:rPr>
        <w:t>、</w:t>
      </w:r>
      <w:r w:rsidR="002E753A">
        <w:rPr>
          <w:rFonts w:ascii="宋体" w:eastAsia="宋体" w:hAnsi="宋体" w:hint="eastAsia"/>
          <w:sz w:val="24"/>
          <w:szCs w:val="24"/>
        </w:rPr>
        <w:t>定期定额投资、</w:t>
      </w:r>
      <w:r w:rsidR="00054716">
        <w:rPr>
          <w:rFonts w:ascii="宋体" w:eastAsia="宋体" w:hAnsi="宋体" w:hint="eastAsia"/>
          <w:sz w:val="24"/>
          <w:szCs w:val="24"/>
        </w:rPr>
        <w:t>基金</w:t>
      </w:r>
      <w:r w:rsidR="002E753A">
        <w:rPr>
          <w:rFonts w:ascii="宋体" w:eastAsia="宋体" w:hAnsi="宋体" w:hint="eastAsia"/>
          <w:sz w:val="24"/>
          <w:szCs w:val="24"/>
        </w:rPr>
        <w:t>转换业务</w:t>
      </w:r>
      <w:r>
        <w:rPr>
          <w:rFonts w:ascii="宋体" w:eastAsia="宋体" w:hAnsi="宋体" w:hint="eastAsia"/>
          <w:sz w:val="24"/>
          <w:szCs w:val="24"/>
        </w:rPr>
        <w:t>，</w:t>
      </w:r>
      <w:r w:rsidRPr="00DD779A">
        <w:rPr>
          <w:rFonts w:ascii="宋体" w:eastAsia="宋体" w:hAnsi="宋体" w:hint="eastAsia"/>
          <w:sz w:val="24"/>
          <w:szCs w:val="24"/>
        </w:rPr>
        <w:t>具体业务规则请遵循</w:t>
      </w:r>
      <w:r w:rsidR="00B66B9A">
        <w:rPr>
          <w:rFonts w:ascii="宋体" w:eastAsia="宋体" w:hAnsi="宋体" w:hint="eastAsia"/>
          <w:sz w:val="24"/>
          <w:szCs w:val="24"/>
        </w:rPr>
        <w:t>东海证券</w:t>
      </w:r>
      <w:r w:rsidRPr="00DD779A">
        <w:rPr>
          <w:rFonts w:ascii="宋体" w:eastAsia="宋体" w:hAnsi="宋体" w:hint="eastAsia"/>
          <w:sz w:val="24"/>
          <w:szCs w:val="24"/>
        </w:rPr>
        <w:t>的</w:t>
      </w:r>
      <w:r>
        <w:rPr>
          <w:rFonts w:ascii="宋体" w:eastAsia="宋体" w:hAnsi="宋体" w:hint="eastAsia"/>
          <w:sz w:val="24"/>
          <w:szCs w:val="24"/>
        </w:rPr>
        <w:t>相关</w:t>
      </w:r>
      <w:r w:rsidRPr="00DD779A">
        <w:rPr>
          <w:rFonts w:ascii="宋体" w:eastAsia="宋体" w:hAnsi="宋体" w:hint="eastAsia"/>
          <w:sz w:val="24"/>
          <w:szCs w:val="24"/>
        </w:rPr>
        <w:t>规定</w:t>
      </w:r>
      <w:r>
        <w:rPr>
          <w:rFonts w:ascii="宋体" w:eastAsia="宋体" w:hAnsi="宋体" w:hint="eastAsia"/>
          <w:sz w:val="24"/>
          <w:szCs w:val="24"/>
        </w:rPr>
        <w:t>。</w:t>
      </w:r>
    </w:p>
    <w:p w:rsidR="0096388D" w:rsidRPr="0096388D" w:rsidRDefault="0096388D" w:rsidP="00967E44">
      <w:pPr>
        <w:pStyle w:val="aa"/>
        <w:numPr>
          <w:ilvl w:val="0"/>
          <w:numId w:val="12"/>
        </w:numPr>
        <w:spacing w:beforeLines="50" w:line="360" w:lineRule="auto"/>
        <w:ind w:firstLineChars="0"/>
        <w:rPr>
          <w:rFonts w:ascii="宋体" w:eastAsia="宋体" w:hAnsi="宋体"/>
          <w:sz w:val="24"/>
          <w:szCs w:val="24"/>
        </w:rPr>
        <w:pPrChange w:id="3" w:author="ZHONGM" w:date="2020-09-03T00:00:00Z">
          <w:pPr>
            <w:pStyle w:val="aa"/>
            <w:numPr>
              <w:numId w:val="12"/>
            </w:numPr>
            <w:spacing w:beforeLines="50" w:line="360" w:lineRule="auto"/>
            <w:ind w:left="720" w:firstLineChars="0" w:hanging="720"/>
          </w:pPr>
        </w:pPrChange>
      </w:pPr>
      <w:r w:rsidRPr="0096388D">
        <w:rPr>
          <w:rFonts w:ascii="宋体" w:eastAsia="宋体" w:hAnsi="宋体"/>
          <w:sz w:val="24"/>
          <w:szCs w:val="24"/>
        </w:rPr>
        <w:t>基金转换业务</w:t>
      </w:r>
    </w:p>
    <w:p w:rsidR="000A036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经与</w:t>
      </w:r>
      <w:r w:rsidR="00B66B9A">
        <w:rPr>
          <w:rFonts w:ascii="宋体" w:eastAsia="宋体" w:hAnsi="宋体" w:hint="eastAsia"/>
          <w:sz w:val="24"/>
          <w:szCs w:val="24"/>
        </w:rPr>
        <w:t>东海证券</w:t>
      </w:r>
      <w:r w:rsidRPr="0096388D">
        <w:rPr>
          <w:rFonts w:ascii="宋体" w:eastAsia="宋体" w:hAnsi="宋体"/>
          <w:sz w:val="24"/>
          <w:szCs w:val="24"/>
        </w:rPr>
        <w:t>协商一致，自20</w:t>
      </w:r>
      <w:r w:rsidRPr="0096388D">
        <w:rPr>
          <w:rFonts w:ascii="宋体" w:eastAsia="宋体" w:hAnsi="宋体" w:hint="eastAsia"/>
          <w:sz w:val="24"/>
          <w:szCs w:val="24"/>
        </w:rPr>
        <w:t>20</w:t>
      </w:r>
      <w:r w:rsidRPr="0096388D">
        <w:rPr>
          <w:rFonts w:ascii="宋体" w:eastAsia="宋体" w:hAnsi="宋体"/>
          <w:sz w:val="24"/>
          <w:szCs w:val="24"/>
        </w:rPr>
        <w:t>年</w:t>
      </w:r>
      <w:r w:rsidRPr="0096388D">
        <w:rPr>
          <w:rFonts w:ascii="宋体" w:eastAsia="宋体" w:hAnsi="宋体" w:hint="eastAsia"/>
          <w:sz w:val="24"/>
          <w:szCs w:val="24"/>
        </w:rPr>
        <w:t>9</w:t>
      </w:r>
      <w:r w:rsidRPr="0096388D">
        <w:rPr>
          <w:rFonts w:ascii="宋体" w:eastAsia="宋体" w:hAnsi="宋体"/>
          <w:sz w:val="24"/>
          <w:szCs w:val="24"/>
        </w:rPr>
        <w:t>月</w:t>
      </w:r>
      <w:r w:rsidR="00F40A99">
        <w:rPr>
          <w:rFonts w:ascii="宋体" w:eastAsia="宋体" w:hAnsi="宋体" w:hint="eastAsia"/>
          <w:sz w:val="24"/>
          <w:szCs w:val="24"/>
        </w:rPr>
        <w:t>9</w:t>
      </w:r>
      <w:r w:rsidRPr="0096388D">
        <w:rPr>
          <w:rFonts w:ascii="宋体" w:eastAsia="宋体" w:hAnsi="宋体" w:hint="eastAsia"/>
          <w:sz w:val="24"/>
          <w:szCs w:val="24"/>
        </w:rPr>
        <w:t>日</w:t>
      </w:r>
      <w:r w:rsidRPr="0096388D">
        <w:rPr>
          <w:rFonts w:ascii="宋体" w:eastAsia="宋体" w:hAnsi="宋体"/>
          <w:sz w:val="24"/>
          <w:szCs w:val="24"/>
        </w:rPr>
        <w:t>起，本公司将在</w:t>
      </w:r>
      <w:r w:rsidR="00B66B9A">
        <w:rPr>
          <w:rFonts w:ascii="宋体" w:eastAsia="宋体" w:hAnsi="宋体" w:hint="eastAsia"/>
          <w:sz w:val="24"/>
          <w:szCs w:val="24"/>
        </w:rPr>
        <w:t>东海证券</w:t>
      </w:r>
      <w:r w:rsidRPr="0096388D">
        <w:rPr>
          <w:rFonts w:ascii="宋体" w:eastAsia="宋体" w:hAnsi="宋体"/>
          <w:sz w:val="24"/>
          <w:szCs w:val="24"/>
        </w:rPr>
        <w:t>开通</w:t>
      </w:r>
      <w:r w:rsidRPr="0096388D">
        <w:rPr>
          <w:rFonts w:ascii="宋体" w:eastAsia="宋体" w:hAnsi="宋体" w:hint="eastAsia"/>
          <w:sz w:val="24"/>
          <w:szCs w:val="24"/>
        </w:rPr>
        <w:t>上述基金之间</w:t>
      </w:r>
      <w:r w:rsidRPr="0096388D">
        <w:rPr>
          <w:rFonts w:ascii="宋体" w:eastAsia="宋体" w:hAnsi="宋体"/>
          <w:sz w:val="24"/>
          <w:szCs w:val="24"/>
        </w:rPr>
        <w:t>互相转换业务。</w:t>
      </w:r>
      <w:r w:rsidR="00332B1E">
        <w:rPr>
          <w:rFonts w:ascii="宋体" w:eastAsia="宋体" w:hAnsi="宋体" w:hint="eastAsia"/>
          <w:sz w:val="24"/>
          <w:szCs w:val="24"/>
        </w:rPr>
        <w:t>注：</w:t>
      </w:r>
      <w:r w:rsidR="000A036D">
        <w:rPr>
          <w:rFonts w:ascii="宋体" w:eastAsia="宋体" w:hAnsi="宋体" w:hint="eastAsia"/>
          <w:kern w:val="0"/>
          <w:sz w:val="24"/>
          <w:szCs w:val="24"/>
        </w:rPr>
        <w:t>本公司旗下自建TA基金与中登（“中登”为中国证券登记结算有限公司的简称）TA 基金之间及同一基金两类份额之间不能相互转换。</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具体业务规则请遵循</w:t>
      </w:r>
      <w:r w:rsidR="00B66B9A">
        <w:rPr>
          <w:rFonts w:ascii="宋体" w:eastAsia="宋体" w:hAnsi="宋体" w:hint="eastAsia"/>
          <w:sz w:val="24"/>
          <w:szCs w:val="24"/>
        </w:rPr>
        <w:t>东海证券</w:t>
      </w:r>
      <w:r w:rsidRPr="0096388D">
        <w:rPr>
          <w:rFonts w:ascii="宋体" w:eastAsia="宋体" w:hAnsi="宋体"/>
          <w:sz w:val="24"/>
          <w:szCs w:val="24"/>
        </w:rPr>
        <w:t>的规定，各基金的相关费率请查阅各基金最新的招募说明书（更新）或登录本公司网站查询。</w:t>
      </w:r>
    </w:p>
    <w:p w:rsidR="0096388D" w:rsidRPr="0096388D" w:rsidRDefault="0096388D" w:rsidP="00967E44">
      <w:pPr>
        <w:pStyle w:val="aa"/>
        <w:numPr>
          <w:ilvl w:val="0"/>
          <w:numId w:val="12"/>
        </w:numPr>
        <w:spacing w:beforeLines="50" w:line="360" w:lineRule="auto"/>
        <w:ind w:firstLineChars="0"/>
        <w:rPr>
          <w:rFonts w:ascii="宋体" w:eastAsia="宋体" w:hAnsi="宋体"/>
          <w:sz w:val="24"/>
          <w:szCs w:val="24"/>
        </w:rPr>
        <w:pPrChange w:id="4" w:author="ZHONGM" w:date="2020-09-03T00:00:00Z">
          <w:pPr>
            <w:pStyle w:val="aa"/>
            <w:numPr>
              <w:numId w:val="12"/>
            </w:numPr>
            <w:spacing w:beforeLines="50" w:line="360" w:lineRule="auto"/>
            <w:ind w:left="720" w:firstLineChars="0" w:hanging="720"/>
          </w:pPr>
        </w:pPrChange>
      </w:pPr>
      <w:r w:rsidRPr="0096388D">
        <w:rPr>
          <w:rFonts w:ascii="宋体" w:eastAsia="宋体" w:hAnsi="宋体" w:hint="eastAsia"/>
          <w:sz w:val="24"/>
          <w:szCs w:val="24"/>
        </w:rPr>
        <w:t>定期定额投资业务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定期定额申购业务是指投资者通过指定销售机构提出固定日期和固定金额的扣款和申购申请，由指定销售机构在约定扣款日为投资者自动完成扣款及基金申购申请的一种交易方式。</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（一）适用基金范围</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自20</w:t>
      </w:r>
      <w:r w:rsidRPr="0096388D">
        <w:rPr>
          <w:rFonts w:ascii="宋体" w:eastAsia="宋体" w:hAnsi="宋体" w:hint="eastAsia"/>
          <w:sz w:val="24"/>
          <w:szCs w:val="24"/>
        </w:rPr>
        <w:t>20</w:t>
      </w:r>
      <w:r w:rsidRPr="0096388D">
        <w:rPr>
          <w:rFonts w:ascii="宋体" w:eastAsia="宋体" w:hAnsi="宋体"/>
          <w:sz w:val="24"/>
          <w:szCs w:val="24"/>
        </w:rPr>
        <w:t>年</w:t>
      </w:r>
      <w:r>
        <w:rPr>
          <w:rFonts w:ascii="宋体" w:eastAsia="宋体" w:hAnsi="宋体" w:hint="eastAsia"/>
          <w:sz w:val="24"/>
          <w:szCs w:val="24"/>
        </w:rPr>
        <w:t>9</w:t>
      </w:r>
      <w:r w:rsidRPr="0096388D">
        <w:rPr>
          <w:rFonts w:ascii="宋体" w:eastAsia="宋体" w:hAnsi="宋体" w:hint="eastAsia"/>
          <w:sz w:val="24"/>
          <w:szCs w:val="24"/>
        </w:rPr>
        <w:t>月</w:t>
      </w:r>
      <w:r w:rsidR="00F40A99">
        <w:rPr>
          <w:rFonts w:ascii="宋体" w:eastAsia="宋体" w:hAnsi="宋体" w:hint="eastAsia"/>
          <w:sz w:val="24"/>
          <w:szCs w:val="24"/>
        </w:rPr>
        <w:t>9</w:t>
      </w:r>
      <w:r w:rsidRPr="0096388D">
        <w:rPr>
          <w:rFonts w:ascii="宋体" w:eastAsia="宋体" w:hAnsi="宋体" w:hint="eastAsia"/>
          <w:sz w:val="24"/>
          <w:szCs w:val="24"/>
        </w:rPr>
        <w:t>日</w:t>
      </w:r>
      <w:r w:rsidRPr="0096388D">
        <w:rPr>
          <w:rFonts w:ascii="宋体" w:eastAsia="宋体" w:hAnsi="宋体"/>
          <w:sz w:val="24"/>
          <w:szCs w:val="24"/>
        </w:rPr>
        <w:t>起，本公司将在</w:t>
      </w:r>
      <w:r w:rsidR="00B66B9A">
        <w:rPr>
          <w:rFonts w:ascii="宋体" w:eastAsia="宋体" w:hAnsi="宋体" w:hint="eastAsia"/>
          <w:sz w:val="24"/>
          <w:szCs w:val="24"/>
        </w:rPr>
        <w:t>东海证券</w:t>
      </w:r>
      <w:r w:rsidRPr="0096388D">
        <w:rPr>
          <w:rFonts w:ascii="宋体" w:eastAsia="宋体" w:hAnsi="宋体"/>
          <w:sz w:val="24"/>
          <w:szCs w:val="24"/>
        </w:rPr>
        <w:t>办理上述基金的定期定额投资业务</w:t>
      </w:r>
      <w:r w:rsidRPr="0096388D">
        <w:rPr>
          <w:rFonts w:ascii="宋体" w:eastAsia="宋体" w:hAnsi="宋体" w:hint="eastAsia"/>
          <w:sz w:val="24"/>
          <w:szCs w:val="24"/>
        </w:rPr>
        <w:t>。</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（二）适用投资者范围</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lastRenderedPageBreak/>
        <w:t>中华人民共和国境内的个人投资者（法律法规禁止购买证券投资基金者除外）。</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三</w:t>
      </w:r>
      <w:r w:rsidRPr="0096388D">
        <w:rPr>
          <w:rFonts w:ascii="宋体" w:eastAsia="宋体" w:hAnsi="宋体"/>
          <w:sz w:val="24"/>
          <w:szCs w:val="24"/>
        </w:rPr>
        <w:t>）申请方式</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1、凡申请办理</w:t>
      </w:r>
      <w:r w:rsidRPr="0096388D">
        <w:rPr>
          <w:rFonts w:ascii="宋体" w:eastAsia="宋体" w:hAnsi="宋体" w:hint="eastAsia"/>
          <w:sz w:val="24"/>
          <w:szCs w:val="24"/>
        </w:rPr>
        <w:t>上述基金</w:t>
      </w:r>
      <w:r w:rsidRPr="0096388D">
        <w:rPr>
          <w:rFonts w:ascii="宋体" w:eastAsia="宋体" w:hAnsi="宋体"/>
          <w:sz w:val="24"/>
          <w:szCs w:val="24"/>
        </w:rPr>
        <w:t>定期定额投资业务的投资者须首先开立本公司开放式基金账户，具体开户程序请遵循</w:t>
      </w:r>
      <w:r w:rsidR="00B66B9A">
        <w:rPr>
          <w:rFonts w:ascii="宋体" w:eastAsia="宋体" w:hAnsi="宋体" w:hint="eastAsia"/>
          <w:sz w:val="24"/>
          <w:szCs w:val="24"/>
        </w:rPr>
        <w:t>东海证券</w:t>
      </w:r>
      <w:r w:rsidRPr="0096388D">
        <w:rPr>
          <w:rFonts w:ascii="宋体" w:eastAsia="宋体" w:hAnsi="宋体"/>
          <w:sz w:val="24"/>
          <w:szCs w:val="24"/>
        </w:rPr>
        <w:t>的规定。</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2、已开立本公司开放式基金账户到</w:t>
      </w:r>
      <w:r w:rsidR="00B66B9A">
        <w:rPr>
          <w:rFonts w:ascii="宋体" w:eastAsia="宋体" w:hAnsi="宋体" w:hint="eastAsia"/>
          <w:sz w:val="24"/>
          <w:szCs w:val="24"/>
        </w:rPr>
        <w:t>东海证券</w:t>
      </w:r>
      <w:r w:rsidRPr="0096388D">
        <w:rPr>
          <w:rFonts w:ascii="宋体" w:eastAsia="宋体" w:hAnsi="宋体"/>
          <w:sz w:val="24"/>
          <w:szCs w:val="24"/>
        </w:rPr>
        <w:t>申请增开交易账号（已开户者除外），并申请办理定期定额投资业务，具体办理程序请遵循</w:t>
      </w:r>
      <w:r w:rsidR="00B66B9A">
        <w:rPr>
          <w:rFonts w:ascii="宋体" w:eastAsia="宋体" w:hAnsi="宋体" w:hint="eastAsia"/>
          <w:sz w:val="24"/>
          <w:szCs w:val="24"/>
        </w:rPr>
        <w:t>东海证券</w:t>
      </w:r>
      <w:r w:rsidRPr="0096388D">
        <w:rPr>
          <w:rFonts w:ascii="宋体" w:eastAsia="宋体" w:hAnsi="宋体"/>
          <w:sz w:val="24"/>
          <w:szCs w:val="24"/>
        </w:rPr>
        <w:t>的规定。</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四</w:t>
      </w:r>
      <w:r w:rsidRPr="0096388D">
        <w:rPr>
          <w:rFonts w:ascii="宋体" w:eastAsia="宋体" w:hAnsi="宋体"/>
          <w:sz w:val="24"/>
          <w:szCs w:val="24"/>
        </w:rPr>
        <w:t>）扣款方式和扣款日期</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投资者须遵循</w:t>
      </w:r>
      <w:r w:rsidR="00B66B9A">
        <w:rPr>
          <w:rFonts w:ascii="宋体" w:eastAsia="宋体" w:hAnsi="宋体" w:hint="eastAsia"/>
          <w:sz w:val="24"/>
          <w:szCs w:val="24"/>
        </w:rPr>
        <w:t>东海证券</w:t>
      </w:r>
      <w:r w:rsidRPr="0096388D">
        <w:rPr>
          <w:rFonts w:ascii="宋体" w:eastAsia="宋体" w:hAnsi="宋体"/>
          <w:sz w:val="24"/>
          <w:szCs w:val="24"/>
        </w:rPr>
        <w:t>的基金定期定额投资业务规则，指定本人的人民币结算账户作为扣款账户</w:t>
      </w:r>
      <w:r w:rsidR="00111E1A">
        <w:rPr>
          <w:rFonts w:ascii="宋体" w:eastAsia="宋体" w:hAnsi="宋体" w:hint="eastAsia"/>
          <w:sz w:val="24"/>
          <w:szCs w:val="24"/>
        </w:rPr>
        <w:t>，</w:t>
      </w:r>
      <w:r w:rsidRPr="0096388D">
        <w:rPr>
          <w:rFonts w:ascii="宋体" w:eastAsia="宋体" w:hAnsi="宋体"/>
          <w:sz w:val="24"/>
          <w:szCs w:val="24"/>
        </w:rPr>
        <w:t>根据与</w:t>
      </w:r>
      <w:r w:rsidR="00B66B9A">
        <w:rPr>
          <w:rFonts w:ascii="宋体" w:eastAsia="宋体" w:hAnsi="宋体" w:hint="eastAsia"/>
          <w:sz w:val="24"/>
          <w:szCs w:val="24"/>
        </w:rPr>
        <w:t>东海证券</w:t>
      </w:r>
      <w:r w:rsidRPr="0096388D">
        <w:rPr>
          <w:rFonts w:ascii="宋体" w:eastAsia="宋体" w:hAnsi="宋体"/>
          <w:sz w:val="24"/>
          <w:szCs w:val="24"/>
        </w:rPr>
        <w:t>的约定进行扣款。若遇非基金申购开放日则顺延至下一基金申购开放日。</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五</w:t>
      </w:r>
      <w:r w:rsidRPr="0096388D">
        <w:rPr>
          <w:rFonts w:ascii="宋体" w:eastAsia="宋体" w:hAnsi="宋体"/>
          <w:sz w:val="24"/>
          <w:szCs w:val="24"/>
        </w:rPr>
        <w:t>）投资金额</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投资者可与</w:t>
      </w:r>
      <w:r w:rsidR="00B66B9A">
        <w:rPr>
          <w:rFonts w:ascii="宋体" w:eastAsia="宋体" w:hAnsi="宋体" w:hint="eastAsia"/>
          <w:sz w:val="24"/>
          <w:szCs w:val="24"/>
        </w:rPr>
        <w:t>东海证券</w:t>
      </w:r>
      <w:r w:rsidRPr="0096388D">
        <w:rPr>
          <w:rFonts w:ascii="宋体" w:eastAsia="宋体" w:hAnsi="宋体"/>
          <w:sz w:val="24"/>
          <w:szCs w:val="24"/>
        </w:rPr>
        <w:t>就申请开办基金定期定额投资业务约定每期申购金额，定期定额业务起点金额为人民币</w:t>
      </w:r>
      <w:r w:rsidR="00F40A99">
        <w:rPr>
          <w:rFonts w:ascii="宋体" w:eastAsia="宋体" w:hAnsi="宋体" w:hint="eastAsia"/>
          <w:sz w:val="24"/>
          <w:szCs w:val="24"/>
        </w:rPr>
        <w:t>3</w:t>
      </w:r>
      <w:r>
        <w:rPr>
          <w:rFonts w:ascii="宋体" w:eastAsia="宋体" w:hAnsi="宋体" w:hint="eastAsia"/>
          <w:sz w:val="24"/>
          <w:szCs w:val="24"/>
        </w:rPr>
        <w:t>00</w:t>
      </w:r>
      <w:r w:rsidRPr="0096388D">
        <w:rPr>
          <w:rFonts w:ascii="宋体" w:eastAsia="宋体" w:hAnsi="宋体"/>
          <w:sz w:val="24"/>
          <w:szCs w:val="24"/>
        </w:rPr>
        <w:t>元</w:t>
      </w:r>
      <w:r w:rsidR="00111E1A">
        <w:rPr>
          <w:rFonts w:ascii="宋体" w:eastAsia="宋体" w:hAnsi="宋体" w:hint="eastAsia"/>
          <w:sz w:val="24"/>
          <w:szCs w:val="24"/>
        </w:rPr>
        <w:t>（含）</w:t>
      </w:r>
      <w:r w:rsidRPr="0096388D">
        <w:rPr>
          <w:rFonts w:ascii="宋体" w:eastAsia="宋体" w:hAnsi="宋体"/>
          <w:sz w:val="24"/>
          <w:szCs w:val="24"/>
        </w:rPr>
        <w:t>整。</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六</w:t>
      </w:r>
      <w:r w:rsidRPr="0096388D">
        <w:rPr>
          <w:rFonts w:ascii="宋体" w:eastAsia="宋体" w:hAnsi="宋体"/>
          <w:sz w:val="24"/>
          <w:szCs w:val="24"/>
        </w:rPr>
        <w:t>）申购费率</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hint="eastAsia"/>
          <w:sz w:val="24"/>
          <w:szCs w:val="24"/>
        </w:rPr>
        <w:t>详见“</w:t>
      </w:r>
      <w:r>
        <w:rPr>
          <w:rFonts w:ascii="宋体" w:eastAsia="宋体" w:hAnsi="宋体" w:hint="eastAsia"/>
          <w:sz w:val="24"/>
          <w:szCs w:val="24"/>
        </w:rPr>
        <w:t>五</w:t>
      </w:r>
      <w:r w:rsidRPr="0096388D">
        <w:rPr>
          <w:rFonts w:ascii="宋体" w:eastAsia="宋体" w:hAnsi="宋体" w:hint="eastAsia"/>
          <w:sz w:val="24"/>
          <w:szCs w:val="24"/>
        </w:rPr>
        <w:t>、费率优惠</w:t>
      </w:r>
      <w:r w:rsidR="00D37DF7">
        <w:rPr>
          <w:rFonts w:ascii="宋体" w:eastAsia="宋体" w:hAnsi="宋体" w:hint="eastAsia"/>
          <w:sz w:val="24"/>
          <w:szCs w:val="24"/>
        </w:rPr>
        <w:t>活动</w:t>
      </w:r>
      <w:r w:rsidRPr="0096388D">
        <w:rPr>
          <w:rFonts w:ascii="宋体" w:eastAsia="宋体" w:hAnsi="宋体" w:hint="eastAsia"/>
          <w:sz w:val="24"/>
          <w:szCs w:val="24"/>
        </w:rPr>
        <w:t>”部分。</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七</w:t>
      </w:r>
      <w:r w:rsidRPr="0096388D">
        <w:rPr>
          <w:rFonts w:ascii="宋体" w:eastAsia="宋体" w:hAnsi="宋体"/>
          <w:sz w:val="24"/>
          <w:szCs w:val="24"/>
        </w:rPr>
        <w:t>）交易确认</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每月实际扣款日即为基金申购申请日，并以该日（T日）的基金份额资产净值为基准计算申购份额，申购份额将在T+1工作日确认成功后直接计入投资者的基金账户内。基金份额确认查询起始日为T+2工作日。</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八</w:t>
      </w:r>
      <w:r w:rsidRPr="0096388D">
        <w:rPr>
          <w:rFonts w:ascii="宋体" w:eastAsia="宋体" w:hAnsi="宋体"/>
          <w:sz w:val="24"/>
          <w:szCs w:val="24"/>
        </w:rPr>
        <w:t>）已申购份额的赎回及赎回费率</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投资者办理基金定期定额申购业务后，可以</w:t>
      </w:r>
      <w:r w:rsidRPr="0096388D">
        <w:rPr>
          <w:rFonts w:ascii="宋体" w:eastAsia="宋体" w:hAnsi="宋体" w:hint="eastAsia"/>
          <w:sz w:val="24"/>
          <w:szCs w:val="24"/>
        </w:rPr>
        <w:t>自</w:t>
      </w:r>
      <w:r w:rsidRPr="0096388D">
        <w:rPr>
          <w:rFonts w:ascii="宋体" w:eastAsia="宋体" w:hAnsi="宋体"/>
          <w:sz w:val="24"/>
          <w:szCs w:val="24"/>
        </w:rPr>
        <w:t>T+2日</w:t>
      </w:r>
      <w:r w:rsidRPr="0096388D">
        <w:rPr>
          <w:rFonts w:ascii="宋体" w:eastAsia="宋体" w:hAnsi="宋体" w:hint="eastAsia"/>
          <w:sz w:val="24"/>
          <w:szCs w:val="24"/>
        </w:rPr>
        <w:t>起（T为申购申请日）</w:t>
      </w:r>
      <w:r w:rsidRPr="0096388D">
        <w:rPr>
          <w:rFonts w:ascii="宋体" w:eastAsia="宋体" w:hAnsi="宋体"/>
          <w:sz w:val="24"/>
          <w:szCs w:val="24"/>
        </w:rPr>
        <w:t>随时办理基金的赎回。如无另行公告，定期定额投资业务已申购份额的赎回及赎回费率等同于正常的赎回业务。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九</w:t>
      </w:r>
      <w:r w:rsidRPr="0096388D">
        <w:rPr>
          <w:rFonts w:ascii="宋体" w:eastAsia="宋体" w:hAnsi="宋体"/>
          <w:sz w:val="24"/>
          <w:szCs w:val="24"/>
        </w:rPr>
        <w:t>）变更及终止</w:t>
      </w:r>
    </w:p>
    <w:p w:rsidR="00E85BE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w:t>
      </w:r>
      <w:r w:rsidR="00CA2F14">
        <w:rPr>
          <w:rFonts w:ascii="宋体" w:eastAsia="宋体" w:hAnsi="宋体" w:hint="eastAsia"/>
          <w:sz w:val="24"/>
          <w:szCs w:val="24"/>
        </w:rPr>
        <w:t>变更或终止定期定额投资业务的</w:t>
      </w:r>
      <w:r w:rsidRPr="0096388D">
        <w:rPr>
          <w:rFonts w:ascii="宋体" w:eastAsia="宋体" w:hAnsi="宋体"/>
          <w:sz w:val="24"/>
          <w:szCs w:val="24"/>
        </w:rPr>
        <w:t>办理程序</w:t>
      </w:r>
      <w:r w:rsidR="00CA2F14">
        <w:rPr>
          <w:rFonts w:ascii="宋体" w:eastAsia="宋体" w:hAnsi="宋体" w:hint="eastAsia"/>
          <w:sz w:val="24"/>
          <w:szCs w:val="24"/>
        </w:rPr>
        <w:t>请</w:t>
      </w:r>
      <w:r w:rsidRPr="0096388D">
        <w:rPr>
          <w:rFonts w:ascii="宋体" w:eastAsia="宋体" w:hAnsi="宋体"/>
          <w:sz w:val="24"/>
          <w:szCs w:val="24"/>
        </w:rPr>
        <w:t>遵循</w:t>
      </w:r>
      <w:r w:rsidR="00B66B9A">
        <w:rPr>
          <w:rFonts w:ascii="宋体" w:eastAsia="宋体" w:hAnsi="宋体" w:hint="eastAsia"/>
          <w:sz w:val="24"/>
          <w:szCs w:val="24"/>
        </w:rPr>
        <w:t>东海证券</w:t>
      </w:r>
      <w:r w:rsidRPr="0096388D">
        <w:rPr>
          <w:rFonts w:ascii="宋体" w:eastAsia="宋体" w:hAnsi="宋体"/>
          <w:sz w:val="24"/>
          <w:szCs w:val="24"/>
        </w:rPr>
        <w:t>的有关规定。</w:t>
      </w:r>
    </w:p>
    <w:p w:rsidR="00E85BED" w:rsidRPr="00E85BED" w:rsidRDefault="00E85BED" w:rsidP="00967E44">
      <w:pPr>
        <w:pStyle w:val="aa"/>
        <w:numPr>
          <w:ilvl w:val="0"/>
          <w:numId w:val="12"/>
        </w:numPr>
        <w:spacing w:beforeLines="50" w:line="360" w:lineRule="auto"/>
        <w:ind w:firstLineChars="0"/>
        <w:rPr>
          <w:rFonts w:ascii="宋体" w:eastAsia="宋体" w:hAnsi="宋体"/>
          <w:sz w:val="24"/>
          <w:szCs w:val="24"/>
        </w:rPr>
        <w:pPrChange w:id="5" w:author="ZHONGM" w:date="2020-09-03T00:00:00Z">
          <w:pPr>
            <w:pStyle w:val="aa"/>
            <w:numPr>
              <w:numId w:val="12"/>
            </w:numPr>
            <w:spacing w:beforeLines="50" w:line="360" w:lineRule="auto"/>
            <w:ind w:left="720" w:firstLineChars="0" w:hanging="720"/>
          </w:pPr>
        </w:pPrChange>
      </w:pPr>
      <w:r w:rsidRPr="00E85BED">
        <w:rPr>
          <w:rFonts w:ascii="宋体" w:eastAsia="宋体" w:hAnsi="宋体" w:hint="eastAsia"/>
          <w:sz w:val="24"/>
          <w:szCs w:val="24"/>
        </w:rPr>
        <w:t>费率优惠</w:t>
      </w:r>
      <w:r w:rsidR="007801C9">
        <w:rPr>
          <w:rFonts w:ascii="宋体" w:eastAsia="宋体" w:hAnsi="宋体" w:hint="eastAsia"/>
          <w:sz w:val="24"/>
          <w:szCs w:val="24"/>
        </w:rPr>
        <w:t>活动</w:t>
      </w:r>
    </w:p>
    <w:p w:rsidR="00E85BED" w:rsidRPr="00E85BED" w:rsidRDefault="00E85BED" w:rsidP="007801C9">
      <w:pPr>
        <w:spacing w:line="360" w:lineRule="auto"/>
        <w:ind w:firstLineChars="200" w:firstLine="480"/>
        <w:rPr>
          <w:rFonts w:ascii="宋体" w:eastAsia="宋体" w:hAnsi="宋体"/>
          <w:sz w:val="24"/>
          <w:szCs w:val="24"/>
        </w:rPr>
      </w:pPr>
      <w:r w:rsidRPr="00E85BED">
        <w:rPr>
          <w:rFonts w:ascii="宋体" w:eastAsia="宋体" w:hAnsi="宋体" w:hint="eastAsia"/>
          <w:sz w:val="24"/>
          <w:szCs w:val="24"/>
        </w:rPr>
        <w:t>2020年</w:t>
      </w:r>
      <w:r>
        <w:rPr>
          <w:rFonts w:ascii="宋体" w:eastAsia="宋体" w:hAnsi="宋体" w:hint="eastAsia"/>
          <w:sz w:val="24"/>
          <w:szCs w:val="24"/>
        </w:rPr>
        <w:t>9</w:t>
      </w:r>
      <w:r w:rsidRPr="00E85BED">
        <w:rPr>
          <w:rFonts w:ascii="宋体" w:eastAsia="宋体" w:hAnsi="宋体" w:hint="eastAsia"/>
          <w:sz w:val="24"/>
          <w:szCs w:val="24"/>
        </w:rPr>
        <w:t>月</w:t>
      </w:r>
      <w:r w:rsidR="00F40A99">
        <w:rPr>
          <w:rFonts w:ascii="宋体" w:eastAsia="宋体" w:hAnsi="宋体" w:hint="eastAsia"/>
          <w:sz w:val="24"/>
          <w:szCs w:val="24"/>
        </w:rPr>
        <w:t>9</w:t>
      </w:r>
      <w:r w:rsidRPr="00E85BED">
        <w:rPr>
          <w:rFonts w:ascii="宋体" w:eastAsia="宋体" w:hAnsi="宋体" w:hint="eastAsia"/>
          <w:sz w:val="24"/>
          <w:szCs w:val="24"/>
        </w:rPr>
        <w:t>日</w:t>
      </w:r>
      <w:r w:rsidR="00F40A99">
        <w:rPr>
          <w:rFonts w:ascii="宋体" w:eastAsia="宋体" w:hAnsi="宋体" w:hint="eastAsia"/>
          <w:sz w:val="24"/>
          <w:szCs w:val="24"/>
        </w:rPr>
        <w:t>起</w:t>
      </w:r>
      <w:r w:rsidRPr="00E85BED">
        <w:rPr>
          <w:rFonts w:ascii="宋体" w:eastAsia="宋体" w:hAnsi="宋体" w:hint="eastAsia"/>
          <w:sz w:val="24"/>
          <w:szCs w:val="24"/>
        </w:rPr>
        <w:t>，</w:t>
      </w:r>
      <w:r w:rsidR="00F40A99" w:rsidRPr="00F40A99">
        <w:rPr>
          <w:rFonts w:ascii="宋体" w:eastAsia="宋体" w:hAnsi="宋体" w:hint="eastAsia"/>
          <w:sz w:val="24"/>
          <w:szCs w:val="24"/>
        </w:rPr>
        <w:t>投资者通过东海证券网上交易、手机端及临柜方式申购</w:t>
      </w:r>
      <w:r w:rsidR="00F40A99">
        <w:rPr>
          <w:rFonts w:ascii="宋体" w:eastAsia="宋体" w:hAnsi="宋体" w:hint="eastAsia"/>
          <w:sz w:val="24"/>
          <w:szCs w:val="24"/>
        </w:rPr>
        <w:t>上述基金</w:t>
      </w:r>
      <w:r w:rsidR="00F40A99" w:rsidRPr="00F40A99">
        <w:rPr>
          <w:rFonts w:ascii="宋体" w:eastAsia="宋体" w:hAnsi="宋体" w:hint="eastAsia"/>
          <w:sz w:val="24"/>
          <w:szCs w:val="24"/>
        </w:rPr>
        <w:t>，申购费率享受4折优惠，但优惠后的申购费率不低于0.6%；原申购费率低于0.6%，则按原申购费率执行，不再享有费率折扣（限前端、场外模式）。</w:t>
      </w:r>
      <w:r w:rsidRPr="00E85BED">
        <w:rPr>
          <w:rFonts w:ascii="宋体" w:eastAsia="宋体" w:hAnsi="宋体" w:hint="eastAsia"/>
          <w:sz w:val="24"/>
          <w:szCs w:val="24"/>
        </w:rPr>
        <w:t>相关基金原费率详见基金合同、招募说明书（更新）</w:t>
      </w:r>
      <w:r w:rsidR="00F40A99">
        <w:rPr>
          <w:rFonts w:ascii="宋体" w:eastAsia="宋体" w:hAnsi="宋体" w:hint="eastAsia"/>
          <w:sz w:val="24"/>
          <w:szCs w:val="24"/>
        </w:rPr>
        <w:t>、基金产品资料概要</w:t>
      </w:r>
      <w:r w:rsidRPr="00E85BED">
        <w:rPr>
          <w:rFonts w:ascii="宋体" w:eastAsia="宋体" w:hAnsi="宋体" w:hint="eastAsia"/>
          <w:sz w:val="24"/>
          <w:szCs w:val="24"/>
        </w:rPr>
        <w:t>等法律文件及本公司发布的最新业务公告。</w:t>
      </w:r>
    </w:p>
    <w:p w:rsidR="00020BCE" w:rsidRDefault="00E85BED" w:rsidP="00E85BED">
      <w:pPr>
        <w:spacing w:line="360" w:lineRule="auto"/>
        <w:ind w:firstLineChars="200" w:firstLine="480"/>
        <w:rPr>
          <w:rFonts w:ascii="宋体" w:eastAsia="宋体" w:hAnsi="宋体"/>
          <w:sz w:val="24"/>
          <w:szCs w:val="24"/>
        </w:rPr>
      </w:pPr>
      <w:r w:rsidRPr="000A036D">
        <w:rPr>
          <w:rFonts w:ascii="宋体" w:eastAsia="宋体" w:hAnsi="宋体" w:hint="eastAsia"/>
          <w:sz w:val="24"/>
          <w:szCs w:val="24"/>
        </w:rPr>
        <w:t>费率优惠</w:t>
      </w:r>
      <w:r w:rsidR="000A036D">
        <w:rPr>
          <w:rFonts w:ascii="宋体" w:eastAsia="宋体" w:hAnsi="宋体" w:hint="eastAsia"/>
          <w:sz w:val="24"/>
          <w:szCs w:val="24"/>
        </w:rPr>
        <w:t>活动期内</w:t>
      </w:r>
      <w:r w:rsidRPr="000A036D">
        <w:rPr>
          <w:rFonts w:ascii="宋体" w:eastAsia="宋体" w:hAnsi="宋体" w:hint="eastAsia"/>
          <w:sz w:val="24"/>
          <w:szCs w:val="24"/>
        </w:rPr>
        <w:t>，如本公司新增通过</w:t>
      </w:r>
      <w:r w:rsidR="00B66B9A" w:rsidRPr="000A036D">
        <w:rPr>
          <w:rFonts w:ascii="宋体" w:eastAsia="宋体" w:hAnsi="宋体" w:hint="eastAsia"/>
          <w:sz w:val="24"/>
          <w:szCs w:val="24"/>
        </w:rPr>
        <w:t>东海证券</w:t>
      </w:r>
      <w:r w:rsidRPr="000A036D">
        <w:rPr>
          <w:rFonts w:ascii="宋体" w:eastAsia="宋体" w:hAnsi="宋体" w:hint="eastAsia"/>
          <w:sz w:val="24"/>
          <w:szCs w:val="24"/>
        </w:rPr>
        <w:t>代销的基金产品，则自</w:t>
      </w:r>
      <w:r w:rsidR="00375DC5" w:rsidRPr="000A036D">
        <w:rPr>
          <w:rFonts w:ascii="宋体" w:eastAsia="宋体" w:hAnsi="宋体" w:hint="eastAsia"/>
          <w:sz w:val="24"/>
          <w:szCs w:val="24"/>
        </w:rPr>
        <w:t>相关</w:t>
      </w:r>
      <w:r w:rsidRPr="000A036D">
        <w:rPr>
          <w:rFonts w:ascii="宋体" w:eastAsia="宋体" w:hAnsi="宋体" w:hint="eastAsia"/>
          <w:sz w:val="24"/>
          <w:szCs w:val="24"/>
        </w:rPr>
        <w:t>基金开放办理</w:t>
      </w:r>
      <w:r w:rsidR="00375DC5" w:rsidRPr="000A036D">
        <w:rPr>
          <w:rFonts w:ascii="宋体" w:eastAsia="宋体" w:hAnsi="宋体" w:hint="eastAsia"/>
          <w:sz w:val="24"/>
          <w:szCs w:val="24"/>
        </w:rPr>
        <w:t>申购、</w:t>
      </w:r>
      <w:r w:rsidRPr="000A036D">
        <w:rPr>
          <w:rFonts w:ascii="宋体" w:eastAsia="宋体" w:hAnsi="宋体" w:hint="eastAsia"/>
          <w:sz w:val="24"/>
          <w:szCs w:val="24"/>
        </w:rPr>
        <w:t>定期定额</w:t>
      </w:r>
      <w:r w:rsidR="00375DC5" w:rsidRPr="000A036D">
        <w:rPr>
          <w:rFonts w:ascii="宋体" w:eastAsia="宋体" w:hAnsi="宋体" w:hint="eastAsia"/>
          <w:sz w:val="24"/>
          <w:szCs w:val="24"/>
        </w:rPr>
        <w:t>投资</w:t>
      </w:r>
      <w:r w:rsidRPr="000A036D">
        <w:rPr>
          <w:rFonts w:ascii="宋体" w:eastAsia="宋体" w:hAnsi="宋体" w:hint="eastAsia"/>
          <w:sz w:val="24"/>
          <w:szCs w:val="24"/>
        </w:rPr>
        <w:t>业务之日起，将同时参加上述费率优惠活动。</w:t>
      </w:r>
    </w:p>
    <w:p w:rsidR="007801C9" w:rsidRDefault="007801C9" w:rsidP="00967E44">
      <w:pPr>
        <w:pStyle w:val="aa"/>
        <w:numPr>
          <w:ilvl w:val="0"/>
          <w:numId w:val="12"/>
        </w:numPr>
        <w:spacing w:beforeLines="50" w:line="360" w:lineRule="auto"/>
        <w:ind w:firstLineChars="0"/>
        <w:rPr>
          <w:rFonts w:ascii="宋体" w:eastAsia="宋体" w:hAnsi="宋体"/>
          <w:sz w:val="24"/>
          <w:szCs w:val="24"/>
        </w:rPr>
        <w:pPrChange w:id="6" w:author="ZHONGM" w:date="2020-09-03T00:00:00Z">
          <w:pPr>
            <w:pStyle w:val="aa"/>
            <w:numPr>
              <w:numId w:val="12"/>
            </w:numPr>
            <w:spacing w:beforeLines="50" w:line="360" w:lineRule="auto"/>
            <w:ind w:left="720" w:firstLineChars="0" w:hanging="720"/>
          </w:pPr>
        </w:pPrChange>
      </w:pPr>
      <w:r>
        <w:rPr>
          <w:rFonts w:ascii="宋体" w:eastAsia="宋体" w:hAnsi="宋体" w:hint="eastAsia"/>
          <w:sz w:val="24"/>
          <w:szCs w:val="24"/>
        </w:rPr>
        <w:t>重要提示</w:t>
      </w:r>
    </w:p>
    <w:p w:rsidR="007801C9" w:rsidRPr="007801C9" w:rsidRDefault="007801C9" w:rsidP="007801C9">
      <w:pPr>
        <w:spacing w:line="360" w:lineRule="auto"/>
        <w:ind w:firstLineChars="200" w:firstLine="480"/>
        <w:rPr>
          <w:rFonts w:ascii="宋体" w:eastAsia="宋体" w:hAnsi="宋体"/>
          <w:sz w:val="24"/>
          <w:szCs w:val="24"/>
        </w:rPr>
      </w:pPr>
      <w:r w:rsidRPr="007801C9">
        <w:rPr>
          <w:rFonts w:ascii="宋体" w:eastAsia="宋体" w:hAnsi="宋体" w:hint="eastAsia"/>
          <w:sz w:val="24"/>
          <w:szCs w:val="24"/>
        </w:rPr>
        <w:t>1、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7801C9" w:rsidRDefault="007801C9" w:rsidP="007801C9">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FE1CFA">
        <w:rPr>
          <w:rFonts w:ascii="宋体" w:eastAsia="宋体" w:hAnsi="宋体" w:hint="eastAsia"/>
          <w:sz w:val="24"/>
          <w:szCs w:val="24"/>
        </w:rPr>
        <w:t>本次</w:t>
      </w:r>
      <w:r w:rsidR="00FE1CFA" w:rsidRPr="007801C9">
        <w:rPr>
          <w:rFonts w:ascii="宋体" w:eastAsia="宋体" w:hAnsi="宋体" w:hint="eastAsia"/>
          <w:sz w:val="24"/>
          <w:szCs w:val="24"/>
        </w:rPr>
        <w:t>费率优惠</w:t>
      </w:r>
      <w:r w:rsidRPr="007801C9">
        <w:rPr>
          <w:rFonts w:ascii="宋体" w:eastAsia="宋体" w:hAnsi="宋体" w:hint="eastAsia"/>
          <w:sz w:val="24"/>
          <w:szCs w:val="24"/>
        </w:rPr>
        <w:t>仅适用于在</w:t>
      </w:r>
      <w:r w:rsidR="00B66B9A">
        <w:rPr>
          <w:rFonts w:ascii="宋体" w:eastAsia="宋体" w:hAnsi="宋体" w:hint="eastAsia"/>
          <w:sz w:val="24"/>
          <w:szCs w:val="24"/>
        </w:rPr>
        <w:t>东海证券</w:t>
      </w:r>
      <w:r w:rsidRPr="007801C9">
        <w:rPr>
          <w:rFonts w:ascii="宋体" w:eastAsia="宋体" w:hAnsi="宋体" w:hint="eastAsia"/>
          <w:sz w:val="24"/>
          <w:szCs w:val="24"/>
        </w:rPr>
        <w:t>处于正常申购期的上述基金的前端收费模式的申购手续费（含定期定额申购业务产生的申购手续费），不包括基金赎回等其他业务的手续费。</w:t>
      </w:r>
    </w:p>
    <w:p w:rsidR="007801C9" w:rsidRDefault="007801C9" w:rsidP="007801C9">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7801C9">
        <w:rPr>
          <w:rFonts w:ascii="宋体" w:eastAsia="宋体" w:hAnsi="宋体" w:hint="eastAsia"/>
          <w:sz w:val="24"/>
          <w:szCs w:val="24"/>
        </w:rPr>
        <w:t>、本次所开通业务办理的相关规则及流程以</w:t>
      </w:r>
      <w:r w:rsidR="00B66B9A">
        <w:rPr>
          <w:rFonts w:ascii="宋体" w:eastAsia="宋体" w:hAnsi="宋体" w:hint="eastAsia"/>
          <w:sz w:val="24"/>
          <w:szCs w:val="24"/>
        </w:rPr>
        <w:t>东海证券</w:t>
      </w:r>
      <w:r w:rsidRPr="007801C9">
        <w:rPr>
          <w:rFonts w:ascii="宋体" w:eastAsia="宋体" w:hAnsi="宋体" w:hint="eastAsia"/>
          <w:sz w:val="24"/>
          <w:szCs w:val="24"/>
        </w:rPr>
        <w:t>的安排和规定为准，投资者欲了解各基金产品的详细情况，请仔细阅读各基金的基金合同、基金招募说明书（更新）等法律文件</w:t>
      </w:r>
      <w:r w:rsidR="005F64AE">
        <w:rPr>
          <w:rFonts w:ascii="宋体" w:eastAsia="宋体" w:hAnsi="宋体" w:hint="eastAsia"/>
          <w:sz w:val="24"/>
          <w:szCs w:val="24"/>
        </w:rPr>
        <w:t>，</w:t>
      </w:r>
      <w:r w:rsidR="005F64AE" w:rsidRPr="007801C9">
        <w:rPr>
          <w:rFonts w:ascii="宋体" w:eastAsia="宋体" w:hAnsi="宋体" w:hint="eastAsia"/>
          <w:sz w:val="24"/>
          <w:szCs w:val="24"/>
        </w:rPr>
        <w:t>了解所投资基金的风险收益特征，并根据自身情况购买与本人风险承受能力相匹配的产品。</w:t>
      </w:r>
    </w:p>
    <w:p w:rsidR="007801C9" w:rsidRDefault="005F64AE" w:rsidP="007801C9">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7801C9" w:rsidRPr="007801C9">
        <w:rPr>
          <w:rFonts w:ascii="宋体" w:eastAsia="宋体" w:hAnsi="宋体" w:hint="eastAsia"/>
          <w:sz w:val="24"/>
          <w:szCs w:val="24"/>
        </w:rPr>
        <w:t>、</w:t>
      </w:r>
      <w:r w:rsidR="007801C9">
        <w:rPr>
          <w:rFonts w:ascii="宋体" w:eastAsia="宋体" w:hAnsi="宋体" w:hint="eastAsia"/>
          <w:sz w:val="24"/>
          <w:szCs w:val="24"/>
        </w:rPr>
        <w:t>本次</w:t>
      </w:r>
      <w:r w:rsidR="007801C9" w:rsidRPr="007801C9">
        <w:rPr>
          <w:rFonts w:ascii="宋体" w:eastAsia="宋体" w:hAnsi="宋体" w:hint="eastAsia"/>
          <w:sz w:val="24"/>
          <w:szCs w:val="24"/>
        </w:rPr>
        <w:t>费率优惠</w:t>
      </w:r>
      <w:r w:rsidR="007801C9">
        <w:rPr>
          <w:rFonts w:ascii="宋体" w:eastAsia="宋体" w:hAnsi="宋体" w:hint="eastAsia"/>
          <w:sz w:val="24"/>
          <w:szCs w:val="24"/>
        </w:rPr>
        <w:t>活动</w:t>
      </w:r>
      <w:r w:rsidR="007801C9" w:rsidRPr="007801C9">
        <w:rPr>
          <w:rFonts w:ascii="宋体" w:eastAsia="宋体" w:hAnsi="宋体" w:hint="eastAsia"/>
          <w:sz w:val="24"/>
          <w:szCs w:val="24"/>
        </w:rPr>
        <w:t>解释权归</w:t>
      </w:r>
      <w:r w:rsidR="00B66B9A">
        <w:rPr>
          <w:rFonts w:ascii="宋体" w:eastAsia="宋体" w:hAnsi="宋体" w:hint="eastAsia"/>
          <w:sz w:val="24"/>
          <w:szCs w:val="24"/>
        </w:rPr>
        <w:t>东海证券</w:t>
      </w:r>
      <w:r w:rsidR="007801C9" w:rsidRPr="007801C9">
        <w:rPr>
          <w:rFonts w:ascii="宋体" w:eastAsia="宋体" w:hAnsi="宋体" w:hint="eastAsia"/>
          <w:sz w:val="24"/>
          <w:szCs w:val="24"/>
        </w:rPr>
        <w:t>所有，有关费率优惠的具体规定如有变化，敬请留意</w:t>
      </w:r>
      <w:r w:rsidR="00B66B9A">
        <w:rPr>
          <w:rFonts w:ascii="宋体" w:eastAsia="宋体" w:hAnsi="宋体" w:hint="eastAsia"/>
          <w:sz w:val="24"/>
          <w:szCs w:val="24"/>
        </w:rPr>
        <w:t>东海证券</w:t>
      </w:r>
      <w:r w:rsidR="007801C9" w:rsidRPr="007801C9">
        <w:rPr>
          <w:rFonts w:ascii="宋体" w:eastAsia="宋体" w:hAnsi="宋体" w:hint="eastAsia"/>
          <w:sz w:val="24"/>
          <w:szCs w:val="24"/>
        </w:rPr>
        <w:t>最新公告。</w:t>
      </w:r>
    </w:p>
    <w:p w:rsidR="00B10A58" w:rsidRPr="00D03464" w:rsidRDefault="00B10A58" w:rsidP="00967E44">
      <w:pPr>
        <w:pStyle w:val="aa"/>
        <w:numPr>
          <w:ilvl w:val="0"/>
          <w:numId w:val="12"/>
        </w:numPr>
        <w:spacing w:beforeLines="50" w:line="360" w:lineRule="auto"/>
        <w:ind w:firstLineChars="0"/>
        <w:rPr>
          <w:rFonts w:ascii="宋体" w:eastAsia="宋体" w:hAnsi="宋体"/>
          <w:sz w:val="24"/>
          <w:szCs w:val="24"/>
        </w:rPr>
        <w:pPrChange w:id="7" w:author="ZHONGM" w:date="2020-09-03T00:00:00Z">
          <w:pPr>
            <w:pStyle w:val="aa"/>
            <w:numPr>
              <w:numId w:val="12"/>
            </w:numPr>
            <w:spacing w:beforeLines="50" w:line="360" w:lineRule="auto"/>
            <w:ind w:left="720" w:firstLineChars="0" w:hanging="720"/>
          </w:pPr>
        </w:pPrChange>
      </w:pPr>
      <w:r w:rsidRPr="00D03464">
        <w:rPr>
          <w:rFonts w:ascii="宋体" w:eastAsia="宋体" w:hAnsi="宋体" w:hint="eastAsia"/>
          <w:sz w:val="24"/>
          <w:szCs w:val="24"/>
        </w:rPr>
        <w:t>投资者可通过以下渠道咨询详情</w:t>
      </w:r>
    </w:p>
    <w:p w:rsidR="00AE7BCC" w:rsidRPr="00AE7BCC" w:rsidRDefault="00AE7BCC"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B66B9A">
        <w:rPr>
          <w:rFonts w:ascii="宋体" w:eastAsia="宋体" w:hAnsi="宋体" w:hint="eastAsia"/>
          <w:sz w:val="24"/>
          <w:szCs w:val="24"/>
        </w:rPr>
        <w:t>东海证券</w:t>
      </w:r>
      <w:r w:rsidRPr="00AE7BCC">
        <w:rPr>
          <w:rFonts w:ascii="宋体" w:eastAsia="宋体" w:hAnsi="宋体" w:hint="eastAsia"/>
          <w:sz w:val="24"/>
          <w:szCs w:val="24"/>
        </w:rPr>
        <w:t>股份有限公司</w:t>
      </w:r>
    </w:p>
    <w:p w:rsidR="00AE7BCC" w:rsidRPr="00AE7BCC" w:rsidRDefault="00AE7BCC" w:rsidP="00FE1CFA">
      <w:pPr>
        <w:spacing w:line="360" w:lineRule="auto"/>
        <w:ind w:firstLineChars="200" w:firstLine="480"/>
        <w:rPr>
          <w:rFonts w:ascii="宋体" w:eastAsia="宋体" w:hAnsi="宋体"/>
          <w:sz w:val="24"/>
          <w:szCs w:val="24"/>
        </w:rPr>
      </w:pPr>
      <w:r w:rsidRPr="00AE7BCC">
        <w:rPr>
          <w:rFonts w:ascii="宋体" w:eastAsia="宋体" w:hAnsi="宋体" w:hint="eastAsia"/>
          <w:sz w:val="24"/>
          <w:szCs w:val="24"/>
        </w:rPr>
        <w:t>客服电话：</w:t>
      </w:r>
      <w:r w:rsidR="00BE0CF5">
        <w:rPr>
          <w:rFonts w:ascii="宋体" w:eastAsia="宋体" w:hAnsi="宋体" w:hint="eastAsia"/>
          <w:sz w:val="24"/>
          <w:szCs w:val="24"/>
        </w:rPr>
        <w:t>400-888-8</w:t>
      </w:r>
      <w:r w:rsidR="00BE0CF5" w:rsidRPr="00BE0CF5">
        <w:rPr>
          <w:rFonts w:ascii="宋体" w:eastAsia="宋体" w:hAnsi="宋体" w:hint="eastAsia"/>
          <w:sz w:val="24"/>
          <w:szCs w:val="24"/>
        </w:rPr>
        <w:t>588</w:t>
      </w:r>
      <w:r w:rsidR="00BE0CF5">
        <w:rPr>
          <w:rFonts w:ascii="宋体" w:eastAsia="宋体" w:hAnsi="宋体" w:hint="eastAsia"/>
          <w:sz w:val="24"/>
          <w:szCs w:val="24"/>
        </w:rPr>
        <w:t>或</w:t>
      </w:r>
      <w:r w:rsidR="00BE0CF5" w:rsidRPr="00BE0CF5">
        <w:rPr>
          <w:rFonts w:ascii="宋体" w:eastAsia="宋体" w:hAnsi="宋体" w:hint="eastAsia"/>
          <w:sz w:val="24"/>
          <w:szCs w:val="24"/>
        </w:rPr>
        <w:t>95531</w:t>
      </w:r>
    </w:p>
    <w:p w:rsidR="00AE7BCC" w:rsidRDefault="00755B93"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网址</w:t>
      </w:r>
      <w:r w:rsidR="00AE7BCC" w:rsidRPr="00AE7BCC">
        <w:rPr>
          <w:rFonts w:ascii="宋体" w:eastAsia="宋体" w:hAnsi="宋体" w:hint="eastAsia"/>
          <w:sz w:val="24"/>
          <w:szCs w:val="24"/>
        </w:rPr>
        <w:t>：</w:t>
      </w:r>
      <w:r w:rsidR="00F40A99" w:rsidRPr="00F40A99">
        <w:rPr>
          <w:rFonts w:ascii="宋体" w:eastAsia="宋体" w:hAnsi="宋体"/>
          <w:sz w:val="24"/>
          <w:szCs w:val="24"/>
        </w:rPr>
        <w:t>www.longone.com.cn</w:t>
      </w:r>
    </w:p>
    <w:p w:rsidR="00B10A58" w:rsidRPr="00BD4F40" w:rsidRDefault="00D81D23"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B10A58" w:rsidRPr="00BD4F40">
        <w:rPr>
          <w:rFonts w:ascii="宋体" w:eastAsia="宋体" w:hAnsi="宋体" w:hint="eastAsia"/>
          <w:sz w:val="24"/>
          <w:szCs w:val="24"/>
        </w:rPr>
        <w:t>申万菱信基金管理有限公司</w:t>
      </w:r>
    </w:p>
    <w:p w:rsidR="00B10A58" w:rsidRPr="00F61E5B" w:rsidRDefault="00B10A58" w:rsidP="00FE1CFA">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客服电话：</w:t>
      </w:r>
      <w:r w:rsidR="00BD4F40">
        <w:rPr>
          <w:rFonts w:ascii="宋体" w:eastAsia="宋体" w:hAnsi="宋体" w:hint="eastAsia"/>
          <w:sz w:val="24"/>
          <w:szCs w:val="24"/>
        </w:rPr>
        <w:t>400-</w:t>
      </w:r>
      <w:r w:rsidRPr="00F61E5B">
        <w:rPr>
          <w:rFonts w:ascii="宋体" w:eastAsia="宋体" w:hAnsi="宋体" w:hint="eastAsia"/>
          <w:sz w:val="24"/>
          <w:szCs w:val="24"/>
        </w:rPr>
        <w:t>880</w:t>
      </w:r>
      <w:r w:rsidR="00BD4F40">
        <w:rPr>
          <w:rFonts w:ascii="宋体" w:eastAsia="宋体" w:hAnsi="宋体" w:hint="eastAsia"/>
          <w:sz w:val="24"/>
          <w:szCs w:val="24"/>
        </w:rPr>
        <w:t>-</w:t>
      </w:r>
      <w:r w:rsidRPr="00F61E5B">
        <w:rPr>
          <w:rFonts w:ascii="宋体" w:eastAsia="宋体" w:hAnsi="宋体" w:hint="eastAsia"/>
          <w:sz w:val="24"/>
          <w:szCs w:val="24"/>
        </w:rPr>
        <w:t>8588或021-962299</w:t>
      </w:r>
    </w:p>
    <w:p w:rsidR="00B10A58" w:rsidRPr="00F61E5B" w:rsidRDefault="00B10A58" w:rsidP="00FE1CFA">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网址：</w:t>
      </w:r>
      <w:r w:rsidRPr="00B72DB1">
        <w:rPr>
          <w:rFonts w:ascii="宋体" w:eastAsia="宋体" w:hAnsi="宋体" w:hint="eastAsia"/>
          <w:sz w:val="24"/>
          <w:szCs w:val="24"/>
        </w:rPr>
        <w:t>www.swsmu.com</w:t>
      </w:r>
    </w:p>
    <w:p w:rsidR="008119AB" w:rsidRPr="00F61E5B" w:rsidRDefault="008119AB" w:rsidP="00F61E5B">
      <w:pPr>
        <w:spacing w:line="360" w:lineRule="auto"/>
        <w:rPr>
          <w:rFonts w:ascii="宋体" w:eastAsia="宋体" w:hAnsi="宋体"/>
          <w:sz w:val="24"/>
          <w:szCs w:val="24"/>
        </w:rPr>
      </w:pPr>
    </w:p>
    <w:p w:rsidR="008119AB" w:rsidRPr="00D03464" w:rsidRDefault="008119AB"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本公司旗下开放式基金代销机构</w:t>
      </w:r>
    </w:p>
    <w:p w:rsidR="008119AB" w:rsidRPr="00F61E5B" w:rsidRDefault="00EF67E7"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本公司旗下各</w:t>
      </w:r>
      <w:r w:rsidR="008119AB" w:rsidRPr="00F61E5B">
        <w:rPr>
          <w:rFonts w:ascii="宋体" w:eastAsia="宋体" w:hAnsi="宋体" w:hint="eastAsia"/>
          <w:sz w:val="24"/>
          <w:szCs w:val="24"/>
        </w:rPr>
        <w:t>基金</w:t>
      </w:r>
      <w:r>
        <w:rPr>
          <w:rFonts w:ascii="宋体" w:eastAsia="宋体" w:hAnsi="宋体" w:hint="eastAsia"/>
          <w:sz w:val="24"/>
          <w:szCs w:val="24"/>
        </w:rPr>
        <w:t>的</w:t>
      </w:r>
      <w:r w:rsidR="008119AB" w:rsidRPr="00F61E5B">
        <w:rPr>
          <w:rFonts w:ascii="宋体" w:eastAsia="宋体" w:hAnsi="宋体" w:hint="eastAsia"/>
          <w:sz w:val="24"/>
          <w:szCs w:val="24"/>
        </w:rPr>
        <w:t>代销机构可通过本公司网站刊登的《</w:t>
      </w:r>
      <w:r w:rsidR="00F61E5B" w:rsidRPr="00F61E5B">
        <w:rPr>
          <w:rFonts w:ascii="宋体" w:eastAsia="宋体" w:hAnsi="宋体" w:hint="eastAsia"/>
          <w:sz w:val="24"/>
          <w:szCs w:val="24"/>
        </w:rPr>
        <w:t>代销机构情况一览表</w:t>
      </w:r>
      <w:r w:rsidR="008119AB" w:rsidRPr="00F61E5B">
        <w:rPr>
          <w:rFonts w:ascii="宋体" w:eastAsia="宋体" w:hAnsi="宋体" w:hint="eastAsia"/>
          <w:sz w:val="24"/>
          <w:szCs w:val="24"/>
        </w:rPr>
        <w:t>》进行查询。</w:t>
      </w:r>
    </w:p>
    <w:p w:rsidR="008119AB" w:rsidRPr="00F61E5B" w:rsidRDefault="008119AB" w:rsidP="00F61E5B">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欢迎广大投资者垂询、惠顾办理本公司旗下各基金的开户、申购、</w:t>
      </w:r>
      <w:r w:rsidR="00CA0518">
        <w:rPr>
          <w:rFonts w:ascii="宋体" w:eastAsia="宋体" w:hAnsi="宋体" w:hint="eastAsia"/>
          <w:sz w:val="24"/>
          <w:szCs w:val="24"/>
        </w:rPr>
        <w:t>定期定额投资</w:t>
      </w:r>
      <w:r w:rsidRPr="00F61E5B">
        <w:rPr>
          <w:rFonts w:ascii="宋体" w:eastAsia="宋体" w:hAnsi="宋体" w:hint="eastAsia"/>
          <w:sz w:val="24"/>
          <w:szCs w:val="24"/>
        </w:rPr>
        <w:t>、转换等相关业务。</w:t>
      </w:r>
    </w:p>
    <w:p w:rsidR="008119AB" w:rsidRPr="00F61E5B" w:rsidRDefault="008119AB" w:rsidP="00F61E5B">
      <w:pPr>
        <w:spacing w:line="360" w:lineRule="auto"/>
        <w:rPr>
          <w:rFonts w:ascii="宋体" w:eastAsia="宋体" w:hAnsi="宋体"/>
          <w:sz w:val="24"/>
          <w:szCs w:val="24"/>
        </w:rPr>
      </w:pPr>
    </w:p>
    <w:p w:rsidR="008119AB" w:rsidRPr="00D03464" w:rsidRDefault="00D6377E"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风险</w:t>
      </w:r>
      <w:r w:rsidR="008119AB" w:rsidRPr="00D03464">
        <w:rPr>
          <w:rFonts w:ascii="宋体" w:eastAsia="宋体" w:hAnsi="宋体" w:hint="eastAsia"/>
          <w:sz w:val="24"/>
          <w:szCs w:val="24"/>
        </w:rPr>
        <w:t>提示</w:t>
      </w:r>
    </w:p>
    <w:p w:rsidR="008119AB" w:rsidRPr="00F61E5B" w:rsidRDefault="00D03464"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本基金管理人</w:t>
      </w:r>
      <w:r w:rsidR="008119AB" w:rsidRPr="00F61E5B">
        <w:rPr>
          <w:rFonts w:ascii="宋体" w:eastAsia="宋体" w:hAnsi="宋体" w:hint="eastAsia"/>
          <w:sz w:val="24"/>
          <w:szCs w:val="24"/>
        </w:rPr>
        <w:t>承诺以诚实信用、勤勉尽责的原则管理和运用基金资产,但不保证基金一定盈利，也不保证最低收益</w:t>
      </w:r>
      <w:r w:rsidR="001468CF">
        <w:rPr>
          <w:rFonts w:ascii="宋体" w:eastAsia="宋体" w:hAnsi="宋体" w:hint="eastAsia"/>
          <w:sz w:val="24"/>
          <w:szCs w:val="24"/>
        </w:rPr>
        <w:t>。</w:t>
      </w:r>
      <w:r w:rsidR="001468CF" w:rsidRPr="00F61E5B">
        <w:rPr>
          <w:rFonts w:ascii="宋体" w:eastAsia="宋体" w:hAnsi="宋体" w:hint="eastAsia"/>
          <w:sz w:val="24"/>
          <w:szCs w:val="24"/>
        </w:rPr>
        <w:t>投资者欲了解基金产品的详细情况，请仔细阅读基金的基金合同、招募说明书（更新）</w:t>
      </w:r>
      <w:r w:rsidR="00755B93">
        <w:rPr>
          <w:rFonts w:ascii="宋体" w:eastAsia="宋体" w:hAnsi="宋体" w:hint="eastAsia"/>
          <w:sz w:val="24"/>
          <w:szCs w:val="24"/>
        </w:rPr>
        <w:t>、基金产品资料概要</w:t>
      </w:r>
      <w:r w:rsidR="001468CF" w:rsidRPr="00F61E5B">
        <w:rPr>
          <w:rFonts w:ascii="宋体" w:eastAsia="宋体" w:hAnsi="宋体" w:hint="eastAsia"/>
          <w:sz w:val="24"/>
          <w:szCs w:val="24"/>
        </w:rPr>
        <w:t>等法律文件。</w:t>
      </w:r>
      <w:r w:rsidR="008119AB" w:rsidRPr="00F61E5B">
        <w:rPr>
          <w:rFonts w:ascii="宋体" w:eastAsia="宋体" w:hAnsi="宋体" w:hint="eastAsia"/>
          <w:sz w:val="24"/>
          <w:szCs w:val="24"/>
        </w:rPr>
        <w:t>敬请投资者注意投资风险。</w:t>
      </w:r>
    </w:p>
    <w:p w:rsidR="00F61E5B" w:rsidRDefault="00F61E5B" w:rsidP="00F61E5B">
      <w:pPr>
        <w:spacing w:line="360" w:lineRule="auto"/>
        <w:ind w:firstLineChars="200" w:firstLine="480"/>
        <w:rPr>
          <w:rFonts w:ascii="宋体" w:eastAsia="宋体" w:hAnsi="宋体"/>
          <w:sz w:val="24"/>
          <w:szCs w:val="24"/>
        </w:rPr>
      </w:pPr>
    </w:p>
    <w:p w:rsidR="008119AB" w:rsidRPr="00F61E5B" w:rsidRDefault="008119AB" w:rsidP="00F61E5B">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特此公告。</w:t>
      </w:r>
    </w:p>
    <w:p w:rsidR="008119AB" w:rsidRPr="00F61E5B" w:rsidRDefault="008119AB" w:rsidP="00F61E5B">
      <w:pPr>
        <w:spacing w:line="360" w:lineRule="auto"/>
        <w:rPr>
          <w:rFonts w:ascii="宋体" w:eastAsia="宋体" w:hAnsi="宋体"/>
          <w:sz w:val="24"/>
          <w:szCs w:val="24"/>
        </w:rPr>
      </w:pPr>
    </w:p>
    <w:p w:rsidR="008119AB" w:rsidRPr="00F61E5B" w:rsidRDefault="008119AB" w:rsidP="00F61E5B">
      <w:pPr>
        <w:spacing w:line="360" w:lineRule="auto"/>
        <w:jc w:val="right"/>
        <w:rPr>
          <w:rFonts w:ascii="宋体" w:eastAsia="宋体" w:hAnsi="宋体"/>
          <w:sz w:val="24"/>
          <w:szCs w:val="24"/>
        </w:rPr>
      </w:pPr>
      <w:r w:rsidRPr="00F61E5B">
        <w:rPr>
          <w:rFonts w:ascii="宋体" w:eastAsia="宋体" w:hAnsi="宋体" w:hint="eastAsia"/>
          <w:sz w:val="24"/>
          <w:szCs w:val="24"/>
        </w:rPr>
        <w:t>申万菱信基金管理有限公司</w:t>
      </w:r>
    </w:p>
    <w:p w:rsidR="008119AB" w:rsidRPr="00F61E5B" w:rsidRDefault="008119AB" w:rsidP="00F61E5B">
      <w:pPr>
        <w:spacing w:line="360" w:lineRule="auto"/>
        <w:jc w:val="right"/>
        <w:rPr>
          <w:rFonts w:ascii="宋体" w:eastAsia="宋体" w:hAnsi="宋体"/>
          <w:sz w:val="24"/>
          <w:szCs w:val="24"/>
        </w:rPr>
      </w:pPr>
      <w:r w:rsidRPr="0032026A">
        <w:rPr>
          <w:rFonts w:ascii="宋体" w:eastAsia="宋体" w:hAnsi="宋体" w:hint="eastAsia"/>
          <w:sz w:val="24"/>
          <w:szCs w:val="24"/>
        </w:rPr>
        <w:t>2020年</w:t>
      </w:r>
      <w:r w:rsidR="00F40A99">
        <w:rPr>
          <w:rFonts w:ascii="宋体" w:eastAsia="宋体" w:hAnsi="宋体" w:hint="eastAsia"/>
          <w:sz w:val="24"/>
          <w:szCs w:val="24"/>
        </w:rPr>
        <w:t>9</w:t>
      </w:r>
      <w:r w:rsidRPr="0032026A">
        <w:rPr>
          <w:rFonts w:ascii="宋体" w:eastAsia="宋体" w:hAnsi="宋体" w:hint="eastAsia"/>
          <w:sz w:val="24"/>
          <w:szCs w:val="24"/>
        </w:rPr>
        <w:t>月</w:t>
      </w:r>
      <w:r w:rsidR="00BE0CF5">
        <w:rPr>
          <w:rFonts w:ascii="宋体" w:eastAsia="宋体" w:hAnsi="宋体" w:hint="eastAsia"/>
          <w:sz w:val="24"/>
          <w:szCs w:val="24"/>
        </w:rPr>
        <w:t>3</w:t>
      </w:r>
      <w:r w:rsidRPr="0032026A">
        <w:rPr>
          <w:rFonts w:ascii="宋体" w:eastAsia="宋体" w:hAnsi="宋体" w:hint="eastAsia"/>
          <w:sz w:val="24"/>
          <w:szCs w:val="24"/>
        </w:rPr>
        <w:t>日</w:t>
      </w:r>
    </w:p>
    <w:sectPr w:rsidR="008119AB" w:rsidRPr="00F61E5B" w:rsidSect="00B16D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7E" w:rsidRDefault="0057717E" w:rsidP="00DE6A71">
      <w:r>
        <w:separator/>
      </w:r>
    </w:p>
  </w:endnote>
  <w:endnote w:type="continuationSeparator" w:id="0">
    <w:p w:rsidR="0057717E" w:rsidRDefault="0057717E" w:rsidP="00DE6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7E" w:rsidRDefault="0057717E" w:rsidP="00DE6A71">
      <w:r>
        <w:separator/>
      </w:r>
    </w:p>
  </w:footnote>
  <w:footnote w:type="continuationSeparator" w:id="0">
    <w:p w:rsidR="0057717E" w:rsidRDefault="0057717E" w:rsidP="00DE6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133"/>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5004E2"/>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0523C3"/>
    <w:multiLevelType w:val="hybridMultilevel"/>
    <w:tmpl w:val="9ACAAB2E"/>
    <w:lvl w:ilvl="0" w:tplc="E6B40CA0">
      <w:start w:val="1"/>
      <w:numFmt w:val="decimal"/>
      <w:lvlText w:val="%1、"/>
      <w:lvlJc w:val="left"/>
      <w:pPr>
        <w:ind w:left="57" w:hanging="5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F571A"/>
    <w:multiLevelType w:val="hybridMultilevel"/>
    <w:tmpl w:val="A65A508E"/>
    <w:lvl w:ilvl="0" w:tplc="A8AEA3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482A6D"/>
    <w:multiLevelType w:val="hybridMultilevel"/>
    <w:tmpl w:val="7AEAD07A"/>
    <w:lvl w:ilvl="0" w:tplc="71D0B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7A3E93"/>
    <w:multiLevelType w:val="hybridMultilevel"/>
    <w:tmpl w:val="8222B60E"/>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9B41F8"/>
    <w:multiLevelType w:val="hybridMultilevel"/>
    <w:tmpl w:val="74B4A544"/>
    <w:lvl w:ilvl="0" w:tplc="324E3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2"/>
    <w:lvlOverride w:ilvl="0">
      <w:lvl w:ilvl="0" w:tplc="E6B40CA0">
        <w:start w:val="1"/>
        <w:numFmt w:val="decimal"/>
        <w:suff w:val="nothing"/>
        <w:lvlText w:val="%1、"/>
        <w:lvlJc w:val="left"/>
        <w:pPr>
          <w:ind w:left="57" w:hanging="57"/>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2"/>
    <w:lvlOverride w:ilvl="0">
      <w:lvl w:ilvl="0" w:tplc="E6B40CA0">
        <w:start w:val="1"/>
        <w:numFmt w:val="decimal"/>
        <w:suff w:val="nothing"/>
        <w:lvlText w:val="%1、"/>
        <w:lvlJc w:val="left"/>
        <w:pPr>
          <w:ind w:left="113" w:hanging="113"/>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2"/>
    <w:lvlOverride w:ilvl="0">
      <w:lvl w:ilvl="0" w:tplc="E6B40CA0">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6"/>
  </w:num>
  <w:num w:numId="7">
    <w:abstractNumId w:val="7"/>
  </w:num>
  <w:num w:numId="8">
    <w:abstractNumId w:val="6"/>
    <w:lvlOverride w:ilvl="0">
      <w:lvl w:ilvl="0" w:tplc="92CABB0C">
        <w:start w:val="1"/>
        <w:numFmt w:val="decimal"/>
        <w:suff w:val="nothing"/>
        <w:lvlText w:val="%1、"/>
        <w:lvlJc w:val="left"/>
        <w:pPr>
          <w:ind w:left="420" w:hanging="42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9">
    <w:abstractNumId w:val="3"/>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768"/>
    <w:rsid w:val="00020330"/>
    <w:rsid w:val="00020BCE"/>
    <w:rsid w:val="00026A0C"/>
    <w:rsid w:val="00036043"/>
    <w:rsid w:val="000363D4"/>
    <w:rsid w:val="00054716"/>
    <w:rsid w:val="000577B8"/>
    <w:rsid w:val="000A036D"/>
    <w:rsid w:val="000A3C74"/>
    <w:rsid w:val="000B5D3F"/>
    <w:rsid w:val="000D1247"/>
    <w:rsid w:val="000E1845"/>
    <w:rsid w:val="000E7AE9"/>
    <w:rsid w:val="000F74D7"/>
    <w:rsid w:val="00111E1A"/>
    <w:rsid w:val="0013417B"/>
    <w:rsid w:val="001468CF"/>
    <w:rsid w:val="0015419E"/>
    <w:rsid w:val="00180E3F"/>
    <w:rsid w:val="001A0768"/>
    <w:rsid w:val="001B4CF9"/>
    <w:rsid w:val="00204D72"/>
    <w:rsid w:val="002561B1"/>
    <w:rsid w:val="00261CE2"/>
    <w:rsid w:val="00275823"/>
    <w:rsid w:val="00276115"/>
    <w:rsid w:val="00285ADD"/>
    <w:rsid w:val="00290044"/>
    <w:rsid w:val="002A72C1"/>
    <w:rsid w:val="002E5EAC"/>
    <w:rsid w:val="002E753A"/>
    <w:rsid w:val="0032026A"/>
    <w:rsid w:val="00331397"/>
    <w:rsid w:val="00332B1E"/>
    <w:rsid w:val="00375DC5"/>
    <w:rsid w:val="003B08E8"/>
    <w:rsid w:val="003B320A"/>
    <w:rsid w:val="003E035A"/>
    <w:rsid w:val="003E5D13"/>
    <w:rsid w:val="004105B3"/>
    <w:rsid w:val="0049295F"/>
    <w:rsid w:val="004929F9"/>
    <w:rsid w:val="004939EA"/>
    <w:rsid w:val="004C6A29"/>
    <w:rsid w:val="004F403F"/>
    <w:rsid w:val="005405CC"/>
    <w:rsid w:val="00556935"/>
    <w:rsid w:val="00572591"/>
    <w:rsid w:val="0057717E"/>
    <w:rsid w:val="005879D3"/>
    <w:rsid w:val="005A7C94"/>
    <w:rsid w:val="005D25D4"/>
    <w:rsid w:val="005D39E8"/>
    <w:rsid w:val="005F64AE"/>
    <w:rsid w:val="00626FC8"/>
    <w:rsid w:val="00634C66"/>
    <w:rsid w:val="00642C6B"/>
    <w:rsid w:val="006F418E"/>
    <w:rsid w:val="00755B93"/>
    <w:rsid w:val="007720C3"/>
    <w:rsid w:val="007801C9"/>
    <w:rsid w:val="007B3B41"/>
    <w:rsid w:val="007D17F4"/>
    <w:rsid w:val="007E36C5"/>
    <w:rsid w:val="007E3F4F"/>
    <w:rsid w:val="007E5DD8"/>
    <w:rsid w:val="008119AB"/>
    <w:rsid w:val="00820535"/>
    <w:rsid w:val="00856C68"/>
    <w:rsid w:val="0086408D"/>
    <w:rsid w:val="00876895"/>
    <w:rsid w:val="00884BDE"/>
    <w:rsid w:val="008D4A34"/>
    <w:rsid w:val="00925FC8"/>
    <w:rsid w:val="0096388D"/>
    <w:rsid w:val="00967E44"/>
    <w:rsid w:val="009A4AA5"/>
    <w:rsid w:val="009C3CAB"/>
    <w:rsid w:val="00AC6D87"/>
    <w:rsid w:val="00AE7BCC"/>
    <w:rsid w:val="00B10A58"/>
    <w:rsid w:val="00B11958"/>
    <w:rsid w:val="00B16D71"/>
    <w:rsid w:val="00B51F34"/>
    <w:rsid w:val="00B66B9A"/>
    <w:rsid w:val="00B72DB1"/>
    <w:rsid w:val="00BC30D3"/>
    <w:rsid w:val="00BC6082"/>
    <w:rsid w:val="00BC6FE8"/>
    <w:rsid w:val="00BD4F40"/>
    <w:rsid w:val="00BE0CF5"/>
    <w:rsid w:val="00C0218F"/>
    <w:rsid w:val="00C21444"/>
    <w:rsid w:val="00C2216C"/>
    <w:rsid w:val="00C35540"/>
    <w:rsid w:val="00CA0518"/>
    <w:rsid w:val="00CA05DC"/>
    <w:rsid w:val="00CA2F14"/>
    <w:rsid w:val="00CF0010"/>
    <w:rsid w:val="00D03464"/>
    <w:rsid w:val="00D31B06"/>
    <w:rsid w:val="00D33D98"/>
    <w:rsid w:val="00D37DF7"/>
    <w:rsid w:val="00D6377E"/>
    <w:rsid w:val="00D66663"/>
    <w:rsid w:val="00D81D23"/>
    <w:rsid w:val="00D87DAD"/>
    <w:rsid w:val="00DA080C"/>
    <w:rsid w:val="00DA5D57"/>
    <w:rsid w:val="00DC167A"/>
    <w:rsid w:val="00DC7467"/>
    <w:rsid w:val="00DD779A"/>
    <w:rsid w:val="00DE498C"/>
    <w:rsid w:val="00DE6A71"/>
    <w:rsid w:val="00E85BED"/>
    <w:rsid w:val="00E945E5"/>
    <w:rsid w:val="00EB516C"/>
    <w:rsid w:val="00EE7AE0"/>
    <w:rsid w:val="00EF67E7"/>
    <w:rsid w:val="00F17F45"/>
    <w:rsid w:val="00F40A99"/>
    <w:rsid w:val="00F441AD"/>
    <w:rsid w:val="00F61E5B"/>
    <w:rsid w:val="00F74989"/>
    <w:rsid w:val="00F81E46"/>
    <w:rsid w:val="00FB284D"/>
    <w:rsid w:val="00FB3CBE"/>
    <w:rsid w:val="00FE1CFA"/>
    <w:rsid w:val="00FF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592674">
      <w:bodyDiv w:val="1"/>
      <w:marLeft w:val="0"/>
      <w:marRight w:val="0"/>
      <w:marTop w:val="0"/>
      <w:marBottom w:val="0"/>
      <w:divBdr>
        <w:top w:val="none" w:sz="0" w:space="0" w:color="auto"/>
        <w:left w:val="none" w:sz="0" w:space="0" w:color="auto"/>
        <w:bottom w:val="none" w:sz="0" w:space="0" w:color="auto"/>
        <w:right w:val="none" w:sz="0" w:space="0" w:color="auto"/>
      </w:divBdr>
    </w:div>
    <w:div w:id="221908819">
      <w:bodyDiv w:val="1"/>
      <w:marLeft w:val="0"/>
      <w:marRight w:val="0"/>
      <w:marTop w:val="0"/>
      <w:marBottom w:val="0"/>
      <w:divBdr>
        <w:top w:val="none" w:sz="0" w:space="0" w:color="auto"/>
        <w:left w:val="none" w:sz="0" w:space="0" w:color="auto"/>
        <w:bottom w:val="none" w:sz="0" w:space="0" w:color="auto"/>
        <w:right w:val="none" w:sz="0" w:space="0" w:color="auto"/>
      </w:divBdr>
    </w:div>
    <w:div w:id="228804095">
      <w:bodyDiv w:val="1"/>
      <w:marLeft w:val="0"/>
      <w:marRight w:val="0"/>
      <w:marTop w:val="0"/>
      <w:marBottom w:val="0"/>
      <w:divBdr>
        <w:top w:val="none" w:sz="0" w:space="0" w:color="auto"/>
        <w:left w:val="none" w:sz="0" w:space="0" w:color="auto"/>
        <w:bottom w:val="none" w:sz="0" w:space="0" w:color="auto"/>
        <w:right w:val="none" w:sz="0" w:space="0" w:color="auto"/>
      </w:divBdr>
    </w:div>
    <w:div w:id="316888270">
      <w:bodyDiv w:val="1"/>
      <w:marLeft w:val="0"/>
      <w:marRight w:val="0"/>
      <w:marTop w:val="0"/>
      <w:marBottom w:val="0"/>
      <w:divBdr>
        <w:top w:val="none" w:sz="0" w:space="0" w:color="auto"/>
        <w:left w:val="none" w:sz="0" w:space="0" w:color="auto"/>
        <w:bottom w:val="none" w:sz="0" w:space="0" w:color="auto"/>
        <w:right w:val="none" w:sz="0" w:space="0" w:color="auto"/>
      </w:divBdr>
    </w:div>
    <w:div w:id="679433069">
      <w:bodyDiv w:val="1"/>
      <w:marLeft w:val="0"/>
      <w:marRight w:val="0"/>
      <w:marTop w:val="0"/>
      <w:marBottom w:val="0"/>
      <w:divBdr>
        <w:top w:val="none" w:sz="0" w:space="0" w:color="auto"/>
        <w:left w:val="none" w:sz="0" w:space="0" w:color="auto"/>
        <w:bottom w:val="none" w:sz="0" w:space="0" w:color="auto"/>
        <w:right w:val="none" w:sz="0" w:space="0" w:color="auto"/>
      </w:divBdr>
    </w:div>
    <w:div w:id="910116209">
      <w:bodyDiv w:val="1"/>
      <w:marLeft w:val="0"/>
      <w:marRight w:val="0"/>
      <w:marTop w:val="0"/>
      <w:marBottom w:val="0"/>
      <w:divBdr>
        <w:top w:val="none" w:sz="0" w:space="0" w:color="auto"/>
        <w:left w:val="none" w:sz="0" w:space="0" w:color="auto"/>
        <w:bottom w:val="none" w:sz="0" w:space="0" w:color="auto"/>
        <w:right w:val="none" w:sz="0" w:space="0" w:color="auto"/>
      </w:divBdr>
    </w:div>
    <w:div w:id="959188371">
      <w:bodyDiv w:val="1"/>
      <w:marLeft w:val="0"/>
      <w:marRight w:val="0"/>
      <w:marTop w:val="0"/>
      <w:marBottom w:val="0"/>
      <w:divBdr>
        <w:top w:val="none" w:sz="0" w:space="0" w:color="auto"/>
        <w:left w:val="none" w:sz="0" w:space="0" w:color="auto"/>
        <w:bottom w:val="none" w:sz="0" w:space="0" w:color="auto"/>
        <w:right w:val="none" w:sz="0" w:space="0" w:color="auto"/>
      </w:divBdr>
    </w:div>
    <w:div w:id="1066684472">
      <w:bodyDiv w:val="1"/>
      <w:marLeft w:val="0"/>
      <w:marRight w:val="0"/>
      <w:marTop w:val="0"/>
      <w:marBottom w:val="0"/>
      <w:divBdr>
        <w:top w:val="none" w:sz="0" w:space="0" w:color="auto"/>
        <w:left w:val="none" w:sz="0" w:space="0" w:color="auto"/>
        <w:bottom w:val="none" w:sz="0" w:space="0" w:color="auto"/>
        <w:right w:val="none" w:sz="0" w:space="0" w:color="auto"/>
      </w:divBdr>
    </w:div>
    <w:div w:id="1162045016">
      <w:bodyDiv w:val="1"/>
      <w:marLeft w:val="0"/>
      <w:marRight w:val="0"/>
      <w:marTop w:val="0"/>
      <w:marBottom w:val="0"/>
      <w:divBdr>
        <w:top w:val="none" w:sz="0" w:space="0" w:color="auto"/>
        <w:left w:val="none" w:sz="0" w:space="0" w:color="auto"/>
        <w:bottom w:val="none" w:sz="0" w:space="0" w:color="auto"/>
        <w:right w:val="none" w:sz="0" w:space="0" w:color="auto"/>
      </w:divBdr>
    </w:div>
    <w:div w:id="1503859105">
      <w:bodyDiv w:val="1"/>
      <w:marLeft w:val="0"/>
      <w:marRight w:val="0"/>
      <w:marTop w:val="0"/>
      <w:marBottom w:val="0"/>
      <w:divBdr>
        <w:top w:val="none" w:sz="0" w:space="0" w:color="auto"/>
        <w:left w:val="none" w:sz="0" w:space="0" w:color="auto"/>
        <w:bottom w:val="none" w:sz="0" w:space="0" w:color="auto"/>
        <w:right w:val="none" w:sz="0" w:space="0" w:color="auto"/>
      </w:divBdr>
    </w:div>
    <w:div w:id="1550730190">
      <w:bodyDiv w:val="1"/>
      <w:marLeft w:val="0"/>
      <w:marRight w:val="0"/>
      <w:marTop w:val="0"/>
      <w:marBottom w:val="0"/>
      <w:divBdr>
        <w:top w:val="none" w:sz="0" w:space="0" w:color="auto"/>
        <w:left w:val="none" w:sz="0" w:space="0" w:color="auto"/>
        <w:bottom w:val="none" w:sz="0" w:space="0" w:color="auto"/>
        <w:right w:val="none" w:sz="0" w:space="0" w:color="auto"/>
      </w:divBdr>
    </w:div>
    <w:div w:id="1684237134">
      <w:bodyDiv w:val="1"/>
      <w:marLeft w:val="0"/>
      <w:marRight w:val="0"/>
      <w:marTop w:val="0"/>
      <w:marBottom w:val="0"/>
      <w:divBdr>
        <w:top w:val="none" w:sz="0" w:space="0" w:color="auto"/>
        <w:left w:val="none" w:sz="0" w:space="0" w:color="auto"/>
        <w:bottom w:val="none" w:sz="0" w:space="0" w:color="auto"/>
        <w:right w:val="none" w:sz="0" w:space="0" w:color="auto"/>
      </w:divBdr>
    </w:div>
    <w:div w:id="1892955961">
      <w:bodyDiv w:val="1"/>
      <w:marLeft w:val="0"/>
      <w:marRight w:val="0"/>
      <w:marTop w:val="0"/>
      <w:marBottom w:val="0"/>
      <w:divBdr>
        <w:top w:val="none" w:sz="0" w:space="0" w:color="auto"/>
        <w:left w:val="none" w:sz="0" w:space="0" w:color="auto"/>
        <w:bottom w:val="none" w:sz="0" w:space="0" w:color="auto"/>
        <w:right w:val="none" w:sz="0" w:space="0" w:color="auto"/>
      </w:divBdr>
    </w:div>
    <w:div w:id="20389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4</DocSecurity>
  <Lines>24</Lines>
  <Paragraphs>6</Paragraphs>
  <ScaleCrop>false</ScaleCrop>
  <Company>Microsoft</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2020-09-02T16:00:00Z</dcterms:created>
  <dcterms:modified xsi:type="dcterms:W3CDTF">2020-09-02T16:00:00Z</dcterms:modified>
</cp:coreProperties>
</file>