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D8" w:rsidRDefault="00C352A2" w:rsidP="005F518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hint="eastAsia"/>
          <w:b/>
          <w:bCs/>
          <w:sz w:val="28"/>
          <w:szCs w:val="28"/>
        </w:rPr>
        <w:t>农银汇理基金管理有限公司旗下部分</w:t>
      </w:r>
      <w:r w:rsidRPr="001E2592">
        <w:rPr>
          <w:rFonts w:ascii="Verdana" w:hAnsi="Verdana" w:hint="eastAsia"/>
          <w:b/>
          <w:bCs/>
          <w:sz w:val="28"/>
          <w:szCs w:val="28"/>
        </w:rPr>
        <w:t>基金</w:t>
      </w:r>
      <w:r w:rsidR="001E2592" w:rsidRPr="001E2592">
        <w:rPr>
          <w:rFonts w:ascii="Verdana" w:hAnsi="Verdana" w:hint="eastAsia"/>
          <w:b/>
          <w:bCs/>
          <w:sz w:val="28"/>
          <w:szCs w:val="28"/>
        </w:rPr>
        <w:t>关于</w:t>
      </w:r>
      <w:r>
        <w:rPr>
          <w:rFonts w:ascii="Verdana" w:hAnsi="Verdana" w:hint="eastAsia"/>
          <w:b/>
          <w:bCs/>
          <w:sz w:val="28"/>
          <w:szCs w:val="28"/>
        </w:rPr>
        <w:t>增加</w:t>
      </w:r>
      <w:r w:rsidR="001552F1" w:rsidRPr="001552F1">
        <w:rPr>
          <w:rFonts w:ascii="Verdana" w:hAnsi="Verdana" w:hint="eastAsia"/>
          <w:b/>
          <w:bCs/>
          <w:sz w:val="28"/>
          <w:szCs w:val="28"/>
        </w:rPr>
        <w:t>中国人寿保险股份有限公司</w:t>
      </w:r>
      <w:r>
        <w:rPr>
          <w:rFonts w:ascii="Verdana" w:hAnsi="Verdana" w:hint="eastAsia"/>
          <w:b/>
          <w:bCs/>
          <w:sz w:val="28"/>
          <w:szCs w:val="28"/>
        </w:rPr>
        <w:t>为</w:t>
      </w:r>
      <w:r w:rsidR="00784A66" w:rsidRPr="001E2592">
        <w:rPr>
          <w:rFonts w:ascii="Verdana" w:hAnsi="Verdana" w:hint="eastAsia"/>
          <w:b/>
          <w:bCs/>
          <w:sz w:val="28"/>
          <w:szCs w:val="28"/>
        </w:rPr>
        <w:t>代销</w:t>
      </w:r>
      <w:r>
        <w:rPr>
          <w:rFonts w:ascii="Verdana" w:hAnsi="Verdana" w:hint="eastAsia"/>
          <w:b/>
          <w:bCs/>
          <w:sz w:val="28"/>
          <w:szCs w:val="28"/>
        </w:rPr>
        <w:t>机构</w:t>
      </w:r>
      <w:r w:rsidR="001E2592" w:rsidRPr="001E2592">
        <w:rPr>
          <w:rFonts w:ascii="Verdana" w:hAnsi="Verdana" w:hint="eastAsia"/>
          <w:b/>
          <w:bCs/>
          <w:sz w:val="28"/>
          <w:szCs w:val="28"/>
        </w:rPr>
        <w:t>的公告</w:t>
      </w:r>
    </w:p>
    <w:p w:rsidR="00A422D8" w:rsidRDefault="00B7746F" w:rsidP="00B7746F">
      <w:pPr>
        <w:spacing w:line="360" w:lineRule="auto"/>
        <w:jc w:val="center"/>
        <w:rPr>
          <w:rFonts w:ascii="宋体" w:hAnsi="宋体"/>
          <w:b/>
          <w:szCs w:val="21"/>
        </w:rPr>
      </w:pPr>
      <w:r w:rsidRPr="002602ED">
        <w:rPr>
          <w:rFonts w:ascii="宋体" w:hAnsi="宋体" w:hint="eastAsia"/>
          <w:b/>
          <w:szCs w:val="21"/>
        </w:rPr>
        <w:t>公告日期：</w:t>
      </w:r>
      <w:r w:rsidR="003E5522" w:rsidRPr="002602ED">
        <w:rPr>
          <w:rFonts w:ascii="宋体" w:hAnsi="宋体" w:hint="eastAsia"/>
          <w:b/>
          <w:szCs w:val="21"/>
        </w:rPr>
        <w:t>2020</w:t>
      </w:r>
      <w:r w:rsidRPr="002602ED">
        <w:rPr>
          <w:rFonts w:ascii="宋体" w:hAnsi="宋体"/>
          <w:b/>
          <w:szCs w:val="21"/>
        </w:rPr>
        <w:t>年</w:t>
      </w:r>
      <w:r w:rsidR="005F518D">
        <w:rPr>
          <w:rFonts w:ascii="宋体" w:hAnsi="宋体"/>
          <w:b/>
          <w:szCs w:val="21"/>
        </w:rPr>
        <w:t xml:space="preserve"> </w:t>
      </w:r>
      <w:r w:rsidR="006F44C8">
        <w:rPr>
          <w:rFonts w:ascii="宋体" w:hAnsi="宋体" w:hint="eastAsia"/>
          <w:b/>
          <w:szCs w:val="21"/>
        </w:rPr>
        <w:t>9月</w:t>
      </w:r>
      <w:r w:rsidR="006F44C8">
        <w:rPr>
          <w:rFonts w:ascii="宋体" w:hAnsi="宋体"/>
          <w:b/>
          <w:szCs w:val="21"/>
        </w:rPr>
        <w:t>3</w:t>
      </w:r>
      <w:r w:rsidRPr="002602ED">
        <w:rPr>
          <w:rFonts w:ascii="宋体" w:hAnsi="宋体"/>
          <w:b/>
          <w:szCs w:val="21"/>
        </w:rPr>
        <w:t>日</w:t>
      </w:r>
    </w:p>
    <w:p w:rsidR="00CA2547" w:rsidRPr="002602ED" w:rsidRDefault="00CA2547" w:rsidP="00B7746F">
      <w:pPr>
        <w:spacing w:line="360" w:lineRule="auto"/>
        <w:jc w:val="center"/>
        <w:rPr>
          <w:rFonts w:ascii="宋体" w:hAnsi="宋体"/>
          <w:b/>
          <w:szCs w:val="21"/>
        </w:rPr>
      </w:pPr>
    </w:p>
    <w:p w:rsidR="00A422D8" w:rsidRDefault="00B54596" w:rsidP="00D811E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602ED">
        <w:rPr>
          <w:rFonts w:ascii="宋体" w:hAnsi="宋体" w:hint="eastAsia"/>
          <w:szCs w:val="21"/>
        </w:rPr>
        <w:t>根据农银汇理基金管理有限公司（以下简称“本公司”）与</w:t>
      </w:r>
      <w:r w:rsidR="001552F1" w:rsidRPr="001552F1">
        <w:rPr>
          <w:rFonts w:hint="eastAsia"/>
          <w:szCs w:val="21"/>
        </w:rPr>
        <w:t>中国人寿保险股份有限公司</w:t>
      </w:r>
      <w:r w:rsidRPr="002602ED">
        <w:rPr>
          <w:rFonts w:ascii="宋体" w:hAnsi="宋体" w:hint="eastAsia"/>
          <w:szCs w:val="21"/>
        </w:rPr>
        <w:t>（以下简称“</w:t>
      </w:r>
      <w:r w:rsidR="001552F1">
        <w:rPr>
          <w:rFonts w:ascii="宋体" w:hAnsi="宋体" w:hint="eastAsia"/>
          <w:szCs w:val="21"/>
        </w:rPr>
        <w:t>中国人寿</w:t>
      </w:r>
      <w:r w:rsidRPr="002602ED">
        <w:rPr>
          <w:rFonts w:ascii="宋体" w:hAnsi="宋体" w:hint="eastAsia"/>
          <w:szCs w:val="21"/>
        </w:rPr>
        <w:t>”）签署的代理销售协议，自</w:t>
      </w:r>
      <w:r w:rsidR="003E5522" w:rsidRPr="002602ED">
        <w:rPr>
          <w:rFonts w:hint="eastAsia"/>
          <w:szCs w:val="21"/>
        </w:rPr>
        <w:t>2020</w:t>
      </w:r>
      <w:r w:rsidRPr="002602ED">
        <w:rPr>
          <w:rFonts w:ascii="宋体" w:hAnsi="宋体" w:hint="eastAsia"/>
          <w:szCs w:val="21"/>
        </w:rPr>
        <w:t>年</w:t>
      </w:r>
      <w:r w:rsidR="001552F1">
        <w:rPr>
          <w:rFonts w:ascii="宋体" w:hAnsi="宋体" w:hint="eastAsia"/>
          <w:szCs w:val="21"/>
        </w:rPr>
        <w:t>9</w:t>
      </w:r>
      <w:r w:rsidRPr="002602ED">
        <w:rPr>
          <w:rFonts w:ascii="宋体" w:hAnsi="宋体" w:hint="eastAsia"/>
          <w:szCs w:val="21"/>
        </w:rPr>
        <w:t>月</w:t>
      </w:r>
      <w:r w:rsidR="00FC15B4">
        <w:rPr>
          <w:rFonts w:ascii="宋体" w:hAnsi="宋体" w:hint="eastAsia"/>
          <w:szCs w:val="21"/>
        </w:rPr>
        <w:t>4</w:t>
      </w:r>
      <w:r w:rsidRPr="002602ED">
        <w:rPr>
          <w:rFonts w:ascii="宋体" w:hAnsi="宋体" w:hint="eastAsia"/>
          <w:szCs w:val="21"/>
        </w:rPr>
        <w:t>日起，</w:t>
      </w:r>
      <w:r w:rsidR="00A261EB">
        <w:rPr>
          <w:rFonts w:ascii="宋体" w:hAnsi="宋体" w:hint="eastAsia"/>
          <w:szCs w:val="21"/>
        </w:rPr>
        <w:t>新增旗下部分基金</w:t>
      </w:r>
      <w:r w:rsidR="000B592F">
        <w:rPr>
          <w:rFonts w:ascii="宋体" w:hAnsi="宋体" w:hint="eastAsia"/>
          <w:szCs w:val="21"/>
        </w:rPr>
        <w:t>的</w:t>
      </w:r>
      <w:r w:rsidR="00A261EB">
        <w:rPr>
          <w:rFonts w:ascii="宋体" w:hAnsi="宋体" w:hint="eastAsia"/>
          <w:szCs w:val="21"/>
        </w:rPr>
        <w:t>代</w:t>
      </w:r>
      <w:r w:rsidR="000B592F">
        <w:rPr>
          <w:rFonts w:ascii="宋体" w:hAnsi="宋体" w:hint="eastAsia"/>
          <w:szCs w:val="21"/>
        </w:rPr>
        <w:t>销业务</w:t>
      </w:r>
      <w:r w:rsidR="006776E4" w:rsidRPr="00DF35A0">
        <w:rPr>
          <w:color w:val="000000"/>
          <w:szCs w:val="21"/>
        </w:rPr>
        <w:t>。</w:t>
      </w:r>
      <w:r w:rsidR="006776E4" w:rsidRPr="00DF35A0">
        <w:rPr>
          <w:rFonts w:hint="eastAsia"/>
          <w:color w:val="000000"/>
          <w:szCs w:val="21"/>
        </w:rPr>
        <w:t>投资者可通过</w:t>
      </w:r>
      <w:r w:rsidR="001552F1" w:rsidRPr="001552F1">
        <w:rPr>
          <w:rFonts w:hint="eastAsia"/>
          <w:szCs w:val="21"/>
        </w:rPr>
        <w:t>中国人寿</w:t>
      </w:r>
      <w:r w:rsidR="006776E4" w:rsidRPr="00DF35A0">
        <w:rPr>
          <w:rFonts w:hint="eastAsia"/>
          <w:color w:val="000000"/>
          <w:szCs w:val="21"/>
        </w:rPr>
        <w:t>办理基金的申购、</w:t>
      </w:r>
      <w:r w:rsidR="006776E4">
        <w:rPr>
          <w:rFonts w:hint="eastAsia"/>
          <w:color w:val="000000"/>
          <w:szCs w:val="21"/>
        </w:rPr>
        <w:t>赎回</w:t>
      </w:r>
      <w:r w:rsidR="00256C18">
        <w:rPr>
          <w:rFonts w:hint="eastAsia"/>
          <w:color w:val="000000"/>
          <w:szCs w:val="21"/>
        </w:rPr>
        <w:t>、转换及定期定额</w:t>
      </w:r>
      <w:r w:rsidR="006776E4" w:rsidRPr="00DF35A0">
        <w:rPr>
          <w:rFonts w:hint="eastAsia"/>
          <w:color w:val="000000"/>
          <w:szCs w:val="21"/>
        </w:rPr>
        <w:t>等相关业务。</w:t>
      </w:r>
      <w:r w:rsidR="000B592F" w:rsidRPr="00854104">
        <w:rPr>
          <w:rFonts w:asciiTheme="minorEastAsia" w:eastAsiaTheme="minorEastAsia" w:hAnsiTheme="minorEastAsia" w:hint="eastAsia"/>
          <w:color w:val="000000"/>
          <w:szCs w:val="21"/>
        </w:rPr>
        <w:t>现将有关事项公告如下：</w:t>
      </w:r>
      <w:r w:rsidR="00A261EB">
        <w:rPr>
          <w:rFonts w:ascii="宋体" w:hAnsi="宋体"/>
          <w:szCs w:val="21"/>
        </w:rPr>
        <w:t xml:space="preserve"> </w:t>
      </w:r>
    </w:p>
    <w:p w:rsidR="004A4418" w:rsidRDefault="004A4418" w:rsidP="00D811E8">
      <w:pPr>
        <w:spacing w:line="360" w:lineRule="auto"/>
        <w:ind w:firstLineChars="200" w:firstLine="480"/>
        <w:rPr>
          <w:sz w:val="24"/>
        </w:rPr>
      </w:pPr>
    </w:p>
    <w:p w:rsidR="00A422D8" w:rsidRPr="00166D75" w:rsidRDefault="00D44000">
      <w:pPr>
        <w:spacing w:line="360" w:lineRule="auto"/>
        <w:rPr>
          <w:b/>
          <w:szCs w:val="21"/>
        </w:rPr>
      </w:pPr>
      <w:r w:rsidRPr="00166D75">
        <w:rPr>
          <w:rFonts w:hint="eastAsia"/>
          <w:b/>
          <w:szCs w:val="21"/>
        </w:rPr>
        <w:t>一</w:t>
      </w:r>
      <w:r w:rsidRPr="00166D75">
        <w:rPr>
          <w:b/>
          <w:szCs w:val="21"/>
        </w:rPr>
        <w:t>、</w:t>
      </w:r>
      <w:r w:rsidR="00256C18">
        <w:rPr>
          <w:rFonts w:hint="eastAsia"/>
          <w:b/>
          <w:szCs w:val="21"/>
        </w:rPr>
        <w:t>适用的基金列表</w:t>
      </w:r>
      <w:r w:rsidR="00B66D1A">
        <w:rPr>
          <w:rFonts w:asciiTheme="minorEastAsia" w:eastAsiaTheme="minorEastAsia" w:hAnsiTheme="minorEastAsia" w:hint="eastAsia"/>
          <w:b/>
          <w:color w:val="000000"/>
          <w:szCs w:val="21"/>
        </w:rPr>
        <w:t>：</w:t>
      </w:r>
    </w:p>
    <w:tbl>
      <w:tblPr>
        <w:tblW w:w="8359" w:type="dxa"/>
        <w:tblInd w:w="113" w:type="dxa"/>
        <w:tblLook w:val="04A0"/>
      </w:tblPr>
      <w:tblGrid>
        <w:gridCol w:w="6091"/>
        <w:gridCol w:w="2268"/>
      </w:tblGrid>
      <w:tr w:rsidR="005F518D" w:rsidRPr="005F518D" w:rsidTr="00D811E8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8D" w:rsidRPr="005F518D" w:rsidRDefault="005F518D" w:rsidP="005F51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F518D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基金</w:t>
            </w:r>
            <w:r w:rsidR="0066517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8D" w:rsidRPr="005F518D" w:rsidRDefault="005F518D" w:rsidP="005F51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F518D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基金代码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农银汇理低估值高增长混合型证券投资基金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000039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农银汇理行业领先混合型证券投资基金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000127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农银汇理区间收益灵活配置混合型证券投资基金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000259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农银汇理研究精选灵活配置混合型证券投资基金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000336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农银汇理主题轮动灵活配置混合型证券投资基金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000462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农银汇理医疗保健主题股票型证券投资基金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000913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农银汇理信息传媒主题股票型证券投资基金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001319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农银汇理工业</w:t>
            </w:r>
            <w:r>
              <w:rPr>
                <w:rFonts w:hint="eastAsia"/>
                <w:color w:val="000000"/>
                <w:sz w:val="22"/>
                <w:szCs w:val="22"/>
              </w:rPr>
              <w:t>4.0</w:t>
            </w:r>
            <w:r>
              <w:rPr>
                <w:rFonts w:hint="eastAsia"/>
                <w:color w:val="000000"/>
                <w:sz w:val="22"/>
                <w:szCs w:val="22"/>
              </w:rPr>
              <w:t>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001606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农银汇理中国优势灵活配置混合型证券投资基金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001656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农银汇理现代农业加灵活配置混合型证券投资基金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001940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农银汇理国企改革灵活配置混合型证券投资基金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002189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农银汇理新能源主题灵活配置混合型证券投资基金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002190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农银汇理物联网主题灵活配置混合型证券投资基金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002191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农银汇理尖端科技灵活配置混合型证券投资基金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004341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农银汇理区间策略灵活配置混合型证券投资基金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004741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农银汇理永益定期开放混合型证券投资基金</w:t>
            </w:r>
            <w:r w:rsidR="000E15F0">
              <w:rPr>
                <w:rStyle w:val="ad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005061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农银汇理沪深</w:t>
            </w: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  <w:r>
              <w:rPr>
                <w:rFonts w:hint="eastAsia"/>
                <w:color w:val="000000"/>
                <w:sz w:val="22"/>
                <w:szCs w:val="22"/>
              </w:rPr>
              <w:t>指数证券投资基金</w:t>
            </w:r>
            <w:r w:rsidR="006F56AE">
              <w:rPr>
                <w:rFonts w:hint="eastAsia"/>
                <w:color w:val="000000"/>
                <w:sz w:val="22"/>
                <w:szCs w:val="22"/>
              </w:rPr>
              <w:t>C</w:t>
            </w:r>
            <w:r w:rsidR="006F56AE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005152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农银汇理研究驱动灵活配置混合型证券投资基金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005492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农银汇理量化智慧动力混合型证券投资基金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005638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农银汇理睿选灵活配置混合型证券投资基金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005815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农银汇理永盛定期开放混合型证券投资基金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006534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农银汇理海棠三年定期开放混合型证券投资基金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006977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农银汇理区间精选灵活配置混合型证券投资基金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008078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农银汇理创新医疗混合型证券投资基金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008293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农银汇理策略趋势混合型证券投资基金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008819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6F44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农银汇理行业成长混合型证券投资基金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660001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农银汇理平衡双利混合型证券投资基金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660003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农银汇理策略价值混合型证券投资基金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660004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农银汇理中小盘混合型证券投资基金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660005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农银汇理大盘蓝筹混合型证券投资基金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660006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农银汇理沪深</w:t>
            </w: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  <w:r>
              <w:rPr>
                <w:rFonts w:hint="eastAsia"/>
                <w:color w:val="000000"/>
                <w:sz w:val="22"/>
                <w:szCs w:val="22"/>
              </w:rPr>
              <w:t>指数证券投资基金</w:t>
            </w:r>
            <w:r w:rsidRPr="001552F1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1552F1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660008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农银汇理策略精选混合型证券投资基金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660010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农银汇理中证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r>
              <w:rPr>
                <w:rFonts w:hint="eastAsia"/>
                <w:color w:val="000000"/>
                <w:sz w:val="22"/>
                <w:szCs w:val="22"/>
              </w:rPr>
              <w:t>指数证券投资基金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660011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农银汇理消费主题混合型证券投资基金</w:t>
            </w: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660012</w:t>
            </w:r>
          </w:p>
        </w:tc>
      </w:tr>
      <w:tr w:rsidR="001552F1" w:rsidRPr="005F518D" w:rsidTr="00EC63B3">
        <w:trPr>
          <w:trHeight w:val="2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农银汇理行业轮动混合型证券投资基金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F1" w:rsidRDefault="001552F1" w:rsidP="005A6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660015</w:t>
            </w:r>
          </w:p>
        </w:tc>
      </w:tr>
    </w:tbl>
    <w:p w:rsidR="00FD7313" w:rsidRPr="00B3516E" w:rsidRDefault="00FD7313" w:rsidP="00511313">
      <w:pPr>
        <w:spacing w:line="360" w:lineRule="auto"/>
        <w:ind w:firstLineChars="200" w:firstLine="360"/>
        <w:rPr>
          <w:rFonts w:ascii="宋体" w:hAnsi="宋体"/>
          <w:color w:val="000000"/>
          <w:sz w:val="18"/>
          <w:szCs w:val="21"/>
        </w:rPr>
      </w:pPr>
      <w:r w:rsidRPr="00B3516E">
        <w:rPr>
          <w:rFonts w:ascii="宋体" w:hAnsi="宋体" w:hint="eastAsia"/>
          <w:color w:val="000000"/>
          <w:sz w:val="18"/>
          <w:szCs w:val="21"/>
        </w:rPr>
        <w:t>注：农银汇理永益定开基金、</w:t>
      </w:r>
      <w:r w:rsidR="00F4724E">
        <w:rPr>
          <w:rFonts w:ascii="宋体" w:hAnsi="宋体" w:hint="eastAsia"/>
          <w:color w:val="000000"/>
          <w:sz w:val="18"/>
          <w:szCs w:val="21"/>
        </w:rPr>
        <w:t>农银汇理永盛定开基金、</w:t>
      </w:r>
      <w:r w:rsidRPr="00B3516E">
        <w:rPr>
          <w:rFonts w:ascii="宋体" w:hAnsi="宋体" w:hint="eastAsia"/>
          <w:color w:val="000000"/>
          <w:sz w:val="18"/>
          <w:szCs w:val="21"/>
        </w:rPr>
        <w:t>农银汇理海棠三年定开基金不开放定期定额申购。</w:t>
      </w:r>
    </w:p>
    <w:p w:rsidR="00511313" w:rsidRPr="004E4A7B" w:rsidRDefault="00511313" w:rsidP="0051131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511313">
        <w:rPr>
          <w:rFonts w:ascii="宋体" w:hAnsi="宋体" w:hint="eastAsia"/>
          <w:color w:val="000000"/>
          <w:szCs w:val="21"/>
        </w:rPr>
        <w:t>以上基金产品参与</w:t>
      </w:r>
      <w:r>
        <w:rPr>
          <w:rFonts w:ascii="宋体" w:hAnsi="宋体" w:hint="eastAsia"/>
          <w:color w:val="000000"/>
          <w:szCs w:val="21"/>
        </w:rPr>
        <w:t>中国人寿</w:t>
      </w:r>
      <w:r w:rsidRPr="00511313">
        <w:rPr>
          <w:rFonts w:ascii="宋体" w:hAnsi="宋体" w:hint="eastAsia"/>
          <w:color w:val="000000"/>
          <w:szCs w:val="21"/>
        </w:rPr>
        <w:t>2020年3月31日起开展的基金申购费率优惠活动。具体费率折扣以</w:t>
      </w:r>
      <w:r>
        <w:rPr>
          <w:rFonts w:ascii="宋体" w:hAnsi="宋体" w:hint="eastAsia"/>
          <w:color w:val="000000"/>
          <w:szCs w:val="21"/>
        </w:rPr>
        <w:t>中国人寿</w:t>
      </w:r>
      <w:r w:rsidRPr="00511313">
        <w:rPr>
          <w:rFonts w:ascii="宋体" w:hAnsi="宋体" w:hint="eastAsia"/>
          <w:color w:val="000000"/>
          <w:szCs w:val="21"/>
        </w:rPr>
        <w:t>2020年3月27日发布的《关于中国人寿保险股份有限公司开展基金申购费率优惠活动的公告（2020年第4号）》为准</w:t>
      </w:r>
      <w:r w:rsidR="004E4A7B">
        <w:rPr>
          <w:rFonts w:ascii="宋体" w:hAnsi="宋体" w:hint="eastAsia"/>
          <w:color w:val="000000"/>
          <w:szCs w:val="21"/>
        </w:rPr>
        <w:t>，即在</w:t>
      </w:r>
      <w:r w:rsidR="00091C20">
        <w:rPr>
          <w:rFonts w:ascii="宋体" w:hAnsi="宋体" w:hint="eastAsia"/>
          <w:color w:val="000000"/>
          <w:szCs w:val="21"/>
        </w:rPr>
        <w:t>2020年3月31</w:t>
      </w:r>
      <w:bookmarkStart w:id="0" w:name="_GoBack"/>
      <w:bookmarkEnd w:id="0"/>
      <w:r w:rsidR="00091C20">
        <w:rPr>
          <w:rFonts w:ascii="宋体" w:hAnsi="宋体" w:hint="eastAsia"/>
          <w:color w:val="000000"/>
          <w:szCs w:val="21"/>
        </w:rPr>
        <w:t>日至2021年6月30日之间通过中国人寿保险股份有限公司申购或定期定额申购基金，申购费率按</w:t>
      </w:r>
      <w:r w:rsidR="009313B8">
        <w:rPr>
          <w:rFonts w:ascii="宋体" w:hAnsi="宋体" w:hint="eastAsia"/>
          <w:color w:val="000000"/>
          <w:szCs w:val="21"/>
        </w:rPr>
        <w:t>不低于</w:t>
      </w:r>
      <w:r w:rsidR="00091C20">
        <w:rPr>
          <w:rFonts w:ascii="宋体" w:hAnsi="宋体" w:hint="eastAsia"/>
          <w:color w:val="000000"/>
          <w:szCs w:val="21"/>
        </w:rPr>
        <w:t>基金原费率的零点零一执行</w:t>
      </w:r>
      <w:r w:rsidR="009313B8">
        <w:rPr>
          <w:rFonts w:ascii="宋体" w:hAnsi="宋体" w:hint="eastAsia"/>
          <w:color w:val="000000"/>
          <w:szCs w:val="21"/>
        </w:rPr>
        <w:t>，固定费用除外</w:t>
      </w:r>
      <w:r w:rsidRPr="00511313">
        <w:rPr>
          <w:rFonts w:ascii="宋体" w:hAnsi="宋体" w:hint="eastAsia"/>
          <w:color w:val="000000"/>
          <w:szCs w:val="21"/>
        </w:rPr>
        <w:t>。</w:t>
      </w:r>
    </w:p>
    <w:p w:rsidR="004A4418" w:rsidRPr="00511313" w:rsidRDefault="004A4418" w:rsidP="0051131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</w:p>
    <w:p w:rsidR="00436B26" w:rsidRPr="00DF35A0" w:rsidRDefault="00436B26" w:rsidP="00876FE3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二、</w:t>
      </w:r>
      <w:r w:rsidRPr="00DF35A0">
        <w:rPr>
          <w:rFonts w:ascii="宋体" w:hAnsi="宋体" w:hint="eastAsia"/>
          <w:b/>
          <w:color w:val="000000"/>
          <w:szCs w:val="21"/>
        </w:rPr>
        <w:t>投资者可通过以下途径咨询有关详情</w:t>
      </w:r>
    </w:p>
    <w:p w:rsidR="00436B26" w:rsidRPr="00DF35A0" w:rsidRDefault="00436B26" w:rsidP="00876FE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1、</w:t>
      </w:r>
      <w:r w:rsidR="006F56AE" w:rsidRPr="006F56AE">
        <w:rPr>
          <w:rFonts w:ascii="宋体" w:hAnsi="宋体" w:cs="宋体" w:hint="eastAsia"/>
          <w:kern w:val="0"/>
          <w:szCs w:val="21"/>
        </w:rPr>
        <w:t>中国人寿保险股份有限公司</w:t>
      </w:r>
    </w:p>
    <w:p w:rsidR="00436B26" w:rsidRPr="00DF35A0" w:rsidRDefault="00436B26" w:rsidP="00876FE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客户服务热线：</w:t>
      </w:r>
      <w:r w:rsidR="006F56AE" w:rsidRPr="006F56AE">
        <w:rPr>
          <w:rFonts w:ascii="宋体" w:hAnsi="宋体"/>
          <w:color w:val="000000"/>
          <w:szCs w:val="21"/>
        </w:rPr>
        <w:t>95519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网址：</w:t>
      </w:r>
      <w:r w:rsidR="006F56AE" w:rsidRPr="006F56AE">
        <w:rPr>
          <w:rFonts w:ascii="宋体" w:hAnsi="宋体"/>
          <w:color w:val="000000"/>
          <w:szCs w:val="21"/>
        </w:rPr>
        <w:t>www.e-chinalife.com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2、农银汇理基金管理有限公司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客户服务中心电话：40068</w:t>
      </w:r>
      <w:r w:rsidR="00CE6AB4">
        <w:rPr>
          <w:rFonts w:ascii="宋体" w:hAnsi="宋体" w:hint="eastAsia"/>
          <w:color w:val="000000"/>
          <w:szCs w:val="21"/>
        </w:rPr>
        <w:t>-</w:t>
      </w:r>
      <w:r w:rsidRPr="00DF35A0">
        <w:rPr>
          <w:rFonts w:ascii="宋体" w:hAnsi="宋体" w:hint="eastAsia"/>
          <w:color w:val="000000"/>
          <w:szCs w:val="21"/>
        </w:rPr>
        <w:t>95599</w:t>
      </w:r>
    </w:p>
    <w:p w:rsidR="00436B26" w:rsidRPr="00DF35A0" w:rsidRDefault="00436B26" w:rsidP="00436B2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F35A0">
        <w:rPr>
          <w:rFonts w:ascii="宋体" w:hAnsi="宋体" w:hint="eastAsia"/>
          <w:color w:val="000000"/>
          <w:szCs w:val="21"/>
        </w:rPr>
        <w:t>网址：www.abc</w:t>
      </w:r>
      <w:r>
        <w:rPr>
          <w:rFonts w:ascii="宋体" w:hAnsi="宋体" w:hint="eastAsia"/>
          <w:color w:val="000000"/>
          <w:szCs w:val="21"/>
        </w:rPr>
        <w:t>-</w:t>
      </w:r>
      <w:r w:rsidRPr="00DF35A0">
        <w:rPr>
          <w:rFonts w:ascii="宋体" w:hAnsi="宋体" w:hint="eastAsia"/>
          <w:color w:val="000000"/>
          <w:szCs w:val="21"/>
        </w:rPr>
        <w:t>ca.com</w:t>
      </w:r>
    </w:p>
    <w:p w:rsidR="00A422D8" w:rsidRPr="00436B26" w:rsidRDefault="00A422D8">
      <w:pPr>
        <w:spacing w:line="360" w:lineRule="auto"/>
        <w:rPr>
          <w:sz w:val="24"/>
        </w:rPr>
      </w:pPr>
    </w:p>
    <w:p w:rsidR="002D45BC" w:rsidRDefault="00D44000" w:rsidP="00AC55BA">
      <w:pPr>
        <w:spacing w:line="360" w:lineRule="auto"/>
        <w:ind w:firstLineChars="236" w:firstLine="49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A422D8" w:rsidRPr="002D45BC" w:rsidRDefault="00D44000" w:rsidP="002D45BC">
      <w:pPr>
        <w:spacing w:line="360" w:lineRule="auto"/>
        <w:ind w:firstLineChars="236" w:firstLine="496"/>
        <w:rPr>
          <w:rFonts w:ascii="宋体" w:hAnsi="宋体"/>
          <w:szCs w:val="21"/>
        </w:rPr>
      </w:pPr>
      <w:r w:rsidRPr="003B4CE9">
        <w:rPr>
          <w:rFonts w:ascii="宋体" w:hAnsi="宋体"/>
          <w:szCs w:val="21"/>
        </w:rPr>
        <w:t xml:space="preserve">特此公告。 </w:t>
      </w:r>
    </w:p>
    <w:p w:rsidR="00A422D8" w:rsidRPr="002D45BC" w:rsidRDefault="00D44000">
      <w:pPr>
        <w:spacing w:line="360" w:lineRule="auto"/>
        <w:ind w:firstLine="420"/>
        <w:jc w:val="right"/>
        <w:rPr>
          <w:szCs w:val="21"/>
        </w:rPr>
      </w:pPr>
      <w:r>
        <w:rPr>
          <w:rFonts w:hint="eastAsia"/>
        </w:rPr>
        <w:t xml:space="preserve">                                              </w:t>
      </w:r>
      <w:r w:rsidR="00A74964" w:rsidRPr="002D45BC">
        <w:rPr>
          <w:rFonts w:hint="eastAsia"/>
          <w:szCs w:val="21"/>
        </w:rPr>
        <w:t>农银汇理基金管理有限公司</w:t>
      </w:r>
    </w:p>
    <w:p w:rsidR="00D44000" w:rsidRDefault="003E5522">
      <w:pPr>
        <w:wordWrap w:val="0"/>
        <w:spacing w:line="360" w:lineRule="auto"/>
        <w:ind w:right="120" w:firstLine="420"/>
        <w:jc w:val="right"/>
      </w:pPr>
      <w:r w:rsidRPr="002602ED">
        <w:rPr>
          <w:rFonts w:hint="eastAsia"/>
          <w:szCs w:val="21"/>
        </w:rPr>
        <w:t>2020</w:t>
      </w:r>
      <w:r w:rsidR="00D44000" w:rsidRPr="002602ED">
        <w:rPr>
          <w:rFonts w:hint="eastAsia"/>
          <w:szCs w:val="21"/>
        </w:rPr>
        <w:t>年</w:t>
      </w:r>
      <w:r w:rsidR="006F56AE">
        <w:rPr>
          <w:rFonts w:hint="eastAsia"/>
          <w:szCs w:val="21"/>
        </w:rPr>
        <w:t>9</w:t>
      </w:r>
      <w:r w:rsidR="0066517B">
        <w:rPr>
          <w:szCs w:val="21"/>
        </w:rPr>
        <w:t xml:space="preserve"> </w:t>
      </w:r>
      <w:r w:rsidR="00D44000" w:rsidRPr="002602ED">
        <w:rPr>
          <w:rFonts w:hint="eastAsia"/>
          <w:szCs w:val="21"/>
        </w:rPr>
        <w:t>月</w:t>
      </w:r>
      <w:r w:rsidR="006F44C8">
        <w:rPr>
          <w:szCs w:val="21"/>
        </w:rPr>
        <w:t>3</w:t>
      </w:r>
      <w:r w:rsidR="00D44000" w:rsidRPr="002602ED">
        <w:rPr>
          <w:rFonts w:hint="eastAsia"/>
          <w:szCs w:val="21"/>
        </w:rPr>
        <w:t>日</w:t>
      </w:r>
    </w:p>
    <w:sectPr w:rsidR="00D44000" w:rsidSect="00A422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36" w:rsidRDefault="00022D36"/>
  </w:endnote>
  <w:endnote w:type="continuationSeparator" w:id="0">
    <w:p w:rsidR="00022D36" w:rsidRDefault="00022D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36" w:rsidRDefault="00022D36"/>
  </w:footnote>
  <w:footnote w:type="continuationSeparator" w:id="0">
    <w:p w:rsidR="00022D36" w:rsidRDefault="00022D36"/>
  </w:footnote>
  <w:footnote w:id="1">
    <w:p w:rsidR="000E15F0" w:rsidRDefault="000E15F0">
      <w:pPr>
        <w:pStyle w:val="ac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372"/>
    <w:rsid w:val="000027FF"/>
    <w:rsid w:val="0000785F"/>
    <w:rsid w:val="00022D36"/>
    <w:rsid w:val="000256CF"/>
    <w:rsid w:val="0003433D"/>
    <w:rsid w:val="0003522C"/>
    <w:rsid w:val="00037996"/>
    <w:rsid w:val="0005692D"/>
    <w:rsid w:val="000830C8"/>
    <w:rsid w:val="00091C20"/>
    <w:rsid w:val="00096B16"/>
    <w:rsid w:val="000A3517"/>
    <w:rsid w:val="000A6C16"/>
    <w:rsid w:val="000B592F"/>
    <w:rsid w:val="000B6FEB"/>
    <w:rsid w:val="000D345F"/>
    <w:rsid w:val="000E15F0"/>
    <w:rsid w:val="000E28B4"/>
    <w:rsid w:val="001013F2"/>
    <w:rsid w:val="001043FF"/>
    <w:rsid w:val="00115CF9"/>
    <w:rsid w:val="0012020B"/>
    <w:rsid w:val="001545BF"/>
    <w:rsid w:val="001552F1"/>
    <w:rsid w:val="00166D75"/>
    <w:rsid w:val="001746B4"/>
    <w:rsid w:val="00175748"/>
    <w:rsid w:val="0019563C"/>
    <w:rsid w:val="001A3F22"/>
    <w:rsid w:val="001A6513"/>
    <w:rsid w:val="001B0357"/>
    <w:rsid w:val="001B10D2"/>
    <w:rsid w:val="001E2592"/>
    <w:rsid w:val="001E43D0"/>
    <w:rsid w:val="001E4542"/>
    <w:rsid w:val="00203BAF"/>
    <w:rsid w:val="00207C55"/>
    <w:rsid w:val="00215560"/>
    <w:rsid w:val="00216D17"/>
    <w:rsid w:val="002214EE"/>
    <w:rsid w:val="00241E2F"/>
    <w:rsid w:val="00253CB7"/>
    <w:rsid w:val="00254D1D"/>
    <w:rsid w:val="00256C18"/>
    <w:rsid w:val="002602ED"/>
    <w:rsid w:val="0026434E"/>
    <w:rsid w:val="00275870"/>
    <w:rsid w:val="00281E4B"/>
    <w:rsid w:val="0029605D"/>
    <w:rsid w:val="002B1CD0"/>
    <w:rsid w:val="002B2FCC"/>
    <w:rsid w:val="002B6F53"/>
    <w:rsid w:val="002C5531"/>
    <w:rsid w:val="002D45BC"/>
    <w:rsid w:val="002D4FA2"/>
    <w:rsid w:val="002D50B5"/>
    <w:rsid w:val="003149DE"/>
    <w:rsid w:val="00322C5F"/>
    <w:rsid w:val="00331C68"/>
    <w:rsid w:val="00341C00"/>
    <w:rsid w:val="0034332E"/>
    <w:rsid w:val="00363147"/>
    <w:rsid w:val="0036780A"/>
    <w:rsid w:val="00372C37"/>
    <w:rsid w:val="0039003D"/>
    <w:rsid w:val="00396330"/>
    <w:rsid w:val="003A54EA"/>
    <w:rsid w:val="003A581B"/>
    <w:rsid w:val="003B4CE9"/>
    <w:rsid w:val="003B5C24"/>
    <w:rsid w:val="003C23BA"/>
    <w:rsid w:val="003C6021"/>
    <w:rsid w:val="003C60A6"/>
    <w:rsid w:val="003D23C5"/>
    <w:rsid w:val="003E0390"/>
    <w:rsid w:val="003E0ED3"/>
    <w:rsid w:val="003E5522"/>
    <w:rsid w:val="00421AE5"/>
    <w:rsid w:val="0042208A"/>
    <w:rsid w:val="00436B26"/>
    <w:rsid w:val="00441F56"/>
    <w:rsid w:val="004444F7"/>
    <w:rsid w:val="00461249"/>
    <w:rsid w:val="0046363A"/>
    <w:rsid w:val="00464253"/>
    <w:rsid w:val="0048133E"/>
    <w:rsid w:val="00484FC5"/>
    <w:rsid w:val="004968A3"/>
    <w:rsid w:val="004A220A"/>
    <w:rsid w:val="004A4418"/>
    <w:rsid w:val="004D4767"/>
    <w:rsid w:val="004E4A7B"/>
    <w:rsid w:val="004F5A28"/>
    <w:rsid w:val="00511313"/>
    <w:rsid w:val="005114C5"/>
    <w:rsid w:val="0051436A"/>
    <w:rsid w:val="00517EB9"/>
    <w:rsid w:val="00522B39"/>
    <w:rsid w:val="005247E0"/>
    <w:rsid w:val="00524EE6"/>
    <w:rsid w:val="00547DD1"/>
    <w:rsid w:val="0055277F"/>
    <w:rsid w:val="00561C92"/>
    <w:rsid w:val="005748C8"/>
    <w:rsid w:val="00580E6F"/>
    <w:rsid w:val="00582D0B"/>
    <w:rsid w:val="00590F70"/>
    <w:rsid w:val="00591424"/>
    <w:rsid w:val="00593DA5"/>
    <w:rsid w:val="005A64E9"/>
    <w:rsid w:val="005B14B9"/>
    <w:rsid w:val="005D52E3"/>
    <w:rsid w:val="005F0997"/>
    <w:rsid w:val="005F518D"/>
    <w:rsid w:val="006038EC"/>
    <w:rsid w:val="00604C20"/>
    <w:rsid w:val="006131B0"/>
    <w:rsid w:val="006131D3"/>
    <w:rsid w:val="006220DA"/>
    <w:rsid w:val="00626277"/>
    <w:rsid w:val="006321A7"/>
    <w:rsid w:val="00635960"/>
    <w:rsid w:val="00645A9D"/>
    <w:rsid w:val="006518D9"/>
    <w:rsid w:val="006569CE"/>
    <w:rsid w:val="006616D4"/>
    <w:rsid w:val="0066517B"/>
    <w:rsid w:val="006776E4"/>
    <w:rsid w:val="00681691"/>
    <w:rsid w:val="006A77E2"/>
    <w:rsid w:val="006C19CB"/>
    <w:rsid w:val="006E03DB"/>
    <w:rsid w:val="006F1111"/>
    <w:rsid w:val="006F44C8"/>
    <w:rsid w:val="006F56AE"/>
    <w:rsid w:val="00724711"/>
    <w:rsid w:val="0072562E"/>
    <w:rsid w:val="007311E9"/>
    <w:rsid w:val="00740874"/>
    <w:rsid w:val="00751BBA"/>
    <w:rsid w:val="0075200B"/>
    <w:rsid w:val="0076564A"/>
    <w:rsid w:val="007657D4"/>
    <w:rsid w:val="0076604E"/>
    <w:rsid w:val="00776891"/>
    <w:rsid w:val="00784A66"/>
    <w:rsid w:val="007A5B9D"/>
    <w:rsid w:val="007A7B17"/>
    <w:rsid w:val="007C0884"/>
    <w:rsid w:val="007C1BA6"/>
    <w:rsid w:val="007D4F28"/>
    <w:rsid w:val="00804B55"/>
    <w:rsid w:val="0080645A"/>
    <w:rsid w:val="008201DE"/>
    <w:rsid w:val="008268F5"/>
    <w:rsid w:val="0083560B"/>
    <w:rsid w:val="008372F6"/>
    <w:rsid w:val="00866583"/>
    <w:rsid w:val="0087569C"/>
    <w:rsid w:val="00875EFA"/>
    <w:rsid w:val="00876FE3"/>
    <w:rsid w:val="00896A78"/>
    <w:rsid w:val="008A4BE3"/>
    <w:rsid w:val="008B01CC"/>
    <w:rsid w:val="008B6F23"/>
    <w:rsid w:val="008F087C"/>
    <w:rsid w:val="008F20FE"/>
    <w:rsid w:val="008F37B0"/>
    <w:rsid w:val="008F3A6F"/>
    <w:rsid w:val="008F456D"/>
    <w:rsid w:val="009044CE"/>
    <w:rsid w:val="009106A3"/>
    <w:rsid w:val="009238EA"/>
    <w:rsid w:val="00930422"/>
    <w:rsid w:val="009313B8"/>
    <w:rsid w:val="00962C6B"/>
    <w:rsid w:val="0096660D"/>
    <w:rsid w:val="00972699"/>
    <w:rsid w:val="0097764B"/>
    <w:rsid w:val="0099752E"/>
    <w:rsid w:val="009B6CA5"/>
    <w:rsid w:val="009D6991"/>
    <w:rsid w:val="009E40FA"/>
    <w:rsid w:val="009F0C41"/>
    <w:rsid w:val="00A01F94"/>
    <w:rsid w:val="00A261EB"/>
    <w:rsid w:val="00A301D7"/>
    <w:rsid w:val="00A359ED"/>
    <w:rsid w:val="00A3684D"/>
    <w:rsid w:val="00A422D8"/>
    <w:rsid w:val="00A72D7A"/>
    <w:rsid w:val="00A74760"/>
    <w:rsid w:val="00A74964"/>
    <w:rsid w:val="00A83C59"/>
    <w:rsid w:val="00A83E58"/>
    <w:rsid w:val="00A97DC7"/>
    <w:rsid w:val="00AA09E7"/>
    <w:rsid w:val="00AA690E"/>
    <w:rsid w:val="00AB042C"/>
    <w:rsid w:val="00AB3093"/>
    <w:rsid w:val="00AC20AC"/>
    <w:rsid w:val="00AC3568"/>
    <w:rsid w:val="00AC45BF"/>
    <w:rsid w:val="00AC55BA"/>
    <w:rsid w:val="00AD17E7"/>
    <w:rsid w:val="00AD34DE"/>
    <w:rsid w:val="00AF1715"/>
    <w:rsid w:val="00AF31EF"/>
    <w:rsid w:val="00B06F64"/>
    <w:rsid w:val="00B13AB1"/>
    <w:rsid w:val="00B14DE6"/>
    <w:rsid w:val="00B3516E"/>
    <w:rsid w:val="00B422AA"/>
    <w:rsid w:val="00B440B7"/>
    <w:rsid w:val="00B53044"/>
    <w:rsid w:val="00B54551"/>
    <w:rsid w:val="00B54596"/>
    <w:rsid w:val="00B63206"/>
    <w:rsid w:val="00B654E2"/>
    <w:rsid w:val="00B66D1A"/>
    <w:rsid w:val="00B73AA9"/>
    <w:rsid w:val="00B7746F"/>
    <w:rsid w:val="00B85FA9"/>
    <w:rsid w:val="00B9086F"/>
    <w:rsid w:val="00B97B5C"/>
    <w:rsid w:val="00B97DA3"/>
    <w:rsid w:val="00BA2F85"/>
    <w:rsid w:val="00BB5E03"/>
    <w:rsid w:val="00BD639E"/>
    <w:rsid w:val="00BE7D54"/>
    <w:rsid w:val="00BF149D"/>
    <w:rsid w:val="00C07C58"/>
    <w:rsid w:val="00C20593"/>
    <w:rsid w:val="00C21878"/>
    <w:rsid w:val="00C25697"/>
    <w:rsid w:val="00C311B4"/>
    <w:rsid w:val="00C352A2"/>
    <w:rsid w:val="00C36F6B"/>
    <w:rsid w:val="00C40E26"/>
    <w:rsid w:val="00C53F1D"/>
    <w:rsid w:val="00C54D8A"/>
    <w:rsid w:val="00C724C8"/>
    <w:rsid w:val="00C73DAA"/>
    <w:rsid w:val="00C80260"/>
    <w:rsid w:val="00C8172D"/>
    <w:rsid w:val="00CA2547"/>
    <w:rsid w:val="00CA381C"/>
    <w:rsid w:val="00CA7766"/>
    <w:rsid w:val="00CD2BD5"/>
    <w:rsid w:val="00CE6AB4"/>
    <w:rsid w:val="00CF71CA"/>
    <w:rsid w:val="00D00098"/>
    <w:rsid w:val="00D15A06"/>
    <w:rsid w:val="00D26078"/>
    <w:rsid w:val="00D37984"/>
    <w:rsid w:val="00D44000"/>
    <w:rsid w:val="00D50E88"/>
    <w:rsid w:val="00D5119C"/>
    <w:rsid w:val="00D75A33"/>
    <w:rsid w:val="00D811E8"/>
    <w:rsid w:val="00D9106C"/>
    <w:rsid w:val="00DA34AD"/>
    <w:rsid w:val="00DB0E82"/>
    <w:rsid w:val="00DB7390"/>
    <w:rsid w:val="00DC7292"/>
    <w:rsid w:val="00DD4E71"/>
    <w:rsid w:val="00DE72A7"/>
    <w:rsid w:val="00DF1DBF"/>
    <w:rsid w:val="00DF4B9C"/>
    <w:rsid w:val="00E13FC4"/>
    <w:rsid w:val="00E16A3B"/>
    <w:rsid w:val="00E465F8"/>
    <w:rsid w:val="00E57B07"/>
    <w:rsid w:val="00E65489"/>
    <w:rsid w:val="00E7280F"/>
    <w:rsid w:val="00E75B0C"/>
    <w:rsid w:val="00E83FB6"/>
    <w:rsid w:val="00E87677"/>
    <w:rsid w:val="00E93D64"/>
    <w:rsid w:val="00EA7236"/>
    <w:rsid w:val="00EB6D49"/>
    <w:rsid w:val="00EC1E19"/>
    <w:rsid w:val="00ED7809"/>
    <w:rsid w:val="00EE5514"/>
    <w:rsid w:val="00EE6EA9"/>
    <w:rsid w:val="00EF3162"/>
    <w:rsid w:val="00F1502B"/>
    <w:rsid w:val="00F15372"/>
    <w:rsid w:val="00F26037"/>
    <w:rsid w:val="00F31D67"/>
    <w:rsid w:val="00F31E85"/>
    <w:rsid w:val="00F4724E"/>
    <w:rsid w:val="00F514A0"/>
    <w:rsid w:val="00F76AA0"/>
    <w:rsid w:val="00F81098"/>
    <w:rsid w:val="00F9306B"/>
    <w:rsid w:val="00FB13C4"/>
    <w:rsid w:val="00FB1FA2"/>
    <w:rsid w:val="00FC15B4"/>
    <w:rsid w:val="00FC2CD9"/>
    <w:rsid w:val="00FD7313"/>
    <w:rsid w:val="00FE4E47"/>
    <w:rsid w:val="00FE6FC0"/>
    <w:rsid w:val="00FF441E"/>
    <w:rsid w:val="03114FC3"/>
    <w:rsid w:val="0BBD1B53"/>
    <w:rsid w:val="11EE62D6"/>
    <w:rsid w:val="13584DCD"/>
    <w:rsid w:val="221B6805"/>
    <w:rsid w:val="23B76226"/>
    <w:rsid w:val="261A1293"/>
    <w:rsid w:val="2676612A"/>
    <w:rsid w:val="29496ECC"/>
    <w:rsid w:val="2AD82E5B"/>
    <w:rsid w:val="314224E0"/>
    <w:rsid w:val="3ED34AA0"/>
    <w:rsid w:val="45FC6AE1"/>
    <w:rsid w:val="55F0410E"/>
    <w:rsid w:val="5F1F779F"/>
    <w:rsid w:val="64496497"/>
    <w:rsid w:val="690E546B"/>
    <w:rsid w:val="789F07F6"/>
    <w:rsid w:val="7FD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2D8"/>
    <w:rPr>
      <w:color w:val="0000FF"/>
      <w:u w:val="single"/>
    </w:rPr>
  </w:style>
  <w:style w:type="character" w:customStyle="1" w:styleId="Char">
    <w:name w:val="页眉 Char"/>
    <w:link w:val="a4"/>
    <w:rsid w:val="00A422D8"/>
    <w:rPr>
      <w:kern w:val="2"/>
      <w:sz w:val="18"/>
      <w:szCs w:val="18"/>
    </w:rPr>
  </w:style>
  <w:style w:type="character" w:customStyle="1" w:styleId="Char0">
    <w:name w:val="页脚 Char"/>
    <w:link w:val="a5"/>
    <w:rsid w:val="00A422D8"/>
    <w:rPr>
      <w:kern w:val="2"/>
      <w:sz w:val="18"/>
      <w:szCs w:val="18"/>
    </w:rPr>
  </w:style>
  <w:style w:type="character" w:customStyle="1" w:styleId="hui14-x1">
    <w:name w:val="hui14-x1"/>
    <w:rsid w:val="00A422D8"/>
    <w:rPr>
      <w:rFonts w:ascii="ˎ̥" w:hAnsi="ˎ̥" w:hint="default"/>
      <w:strike w:val="0"/>
      <w:dstrike w:val="0"/>
      <w:color w:val="333333"/>
      <w:sz w:val="21"/>
      <w:szCs w:val="21"/>
      <w:u w:val="none"/>
    </w:rPr>
  </w:style>
  <w:style w:type="character" w:customStyle="1" w:styleId="Char1">
    <w:name w:val="批注框文本 Char"/>
    <w:link w:val="a6"/>
    <w:rsid w:val="00A422D8"/>
    <w:rPr>
      <w:kern w:val="2"/>
      <w:sz w:val="18"/>
      <w:szCs w:val="18"/>
    </w:rPr>
  </w:style>
  <w:style w:type="paragraph" w:styleId="a5">
    <w:name w:val="footer"/>
    <w:basedOn w:val="a"/>
    <w:link w:val="Char0"/>
    <w:rsid w:val="00A42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4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A422D8"/>
    <w:rPr>
      <w:sz w:val="18"/>
      <w:szCs w:val="18"/>
    </w:rPr>
  </w:style>
  <w:style w:type="table" w:styleId="a7">
    <w:name w:val="Table Grid"/>
    <w:basedOn w:val="a1"/>
    <w:uiPriority w:val="99"/>
    <w:unhideWhenUsed/>
    <w:rsid w:val="000B5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unhideWhenUsed/>
    <w:rsid w:val="0046124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D75A33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D75A33"/>
    <w:pPr>
      <w:jc w:val="left"/>
    </w:pPr>
  </w:style>
  <w:style w:type="character" w:customStyle="1" w:styleId="Char2">
    <w:name w:val="批注文字 Char"/>
    <w:basedOn w:val="a0"/>
    <w:link w:val="aa"/>
    <w:semiHidden/>
    <w:rsid w:val="00D75A33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D75A33"/>
    <w:rPr>
      <w:b/>
      <w:bCs/>
    </w:rPr>
  </w:style>
  <w:style w:type="character" w:customStyle="1" w:styleId="Char3">
    <w:name w:val="批注主题 Char"/>
    <w:basedOn w:val="Char2"/>
    <w:link w:val="ab"/>
    <w:semiHidden/>
    <w:rsid w:val="00D75A33"/>
    <w:rPr>
      <w:b/>
      <w:bCs/>
      <w:kern w:val="2"/>
      <w:sz w:val="21"/>
      <w:szCs w:val="24"/>
    </w:rPr>
  </w:style>
  <w:style w:type="paragraph" w:styleId="ac">
    <w:name w:val="footnote text"/>
    <w:basedOn w:val="a"/>
    <w:link w:val="Char4"/>
    <w:semiHidden/>
    <w:unhideWhenUsed/>
    <w:rsid w:val="000E15F0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c"/>
    <w:semiHidden/>
    <w:rsid w:val="000E15F0"/>
    <w:rPr>
      <w:kern w:val="2"/>
      <w:sz w:val="18"/>
      <w:szCs w:val="18"/>
    </w:rPr>
  </w:style>
  <w:style w:type="character" w:styleId="ad">
    <w:name w:val="footnote reference"/>
    <w:basedOn w:val="a0"/>
    <w:semiHidden/>
    <w:unhideWhenUsed/>
    <w:rsid w:val="000E15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55F3-CD87-470A-801E-0869BFE4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4</DocSecurity>
  <PresentationFormat/>
  <Lines>12</Lines>
  <Paragraphs>3</Paragraphs>
  <Slides>0</Slides>
  <Notes>0</Notes>
  <HiddenSlides>0</HiddenSlides>
  <MMClips>0</MMClips>
  <ScaleCrop>false</ScaleCrop>
  <Company>csjj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关于长盛同祥泛资源主题股票型证券投资基金开通部分银行</dc:title>
  <dc:creator>sunjing</dc:creator>
  <cp:lastModifiedBy>ZHONGM</cp:lastModifiedBy>
  <cp:revision>2</cp:revision>
  <cp:lastPrinted>2020-08-05T09:00:00Z</cp:lastPrinted>
  <dcterms:created xsi:type="dcterms:W3CDTF">2020-09-02T16:00:00Z</dcterms:created>
  <dcterms:modified xsi:type="dcterms:W3CDTF">2020-09-02T16:00:00Z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