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5B" w:rsidRPr="0095365C" w:rsidRDefault="00357D5B">
      <w:pPr>
        <w:pStyle w:val="3"/>
        <w:widowControl/>
        <w:shd w:val="clear" w:color="auto" w:fill="FFFFFF"/>
        <w:spacing w:before="0" w:beforeAutospacing="0" w:after="300" w:afterAutospacing="0"/>
        <w:jc w:val="center"/>
        <w:rPr>
          <w:rFonts w:asciiTheme="majorEastAsia" w:eastAsiaTheme="majorEastAsia" w:hAnsiTheme="majorEastAsia"/>
          <w:b w:val="0"/>
          <w:color w:val="1A1A1A"/>
          <w:lang/>
        </w:rPr>
      </w:pPr>
      <w:r w:rsidRPr="0095365C">
        <w:rPr>
          <w:rFonts w:asciiTheme="majorEastAsia" w:eastAsiaTheme="majorEastAsia" w:hAnsiTheme="majorEastAsia" w:hint="eastAsia"/>
          <w:b w:val="0"/>
          <w:color w:val="1A1A1A"/>
          <w:shd w:val="clear" w:color="auto" w:fill="FFFFFF"/>
          <w:lang/>
        </w:rPr>
        <w:t>金鹰基金管理有限公司关于旗下基金参与科创板投资及相关风险揭示的公告</w:t>
      </w:r>
    </w:p>
    <w:p w:rsidR="00357D5B" w:rsidRDefault="00357D5B" w:rsidP="00765C2E">
      <w:pPr>
        <w:pStyle w:val="CM2"/>
        <w:spacing w:beforeLines="50" w:line="360" w:lineRule="auto"/>
        <w:ind w:firstLineChars="200" w:firstLine="480"/>
        <w:jc w:val="both"/>
        <w:rPr>
          <w:rFonts w:hAnsi="宋体"/>
          <w:color w:val="212121"/>
        </w:rPr>
      </w:pPr>
      <w:r>
        <w:rPr>
          <w:rFonts w:hAnsi="宋体" w:hint="eastAsia"/>
          <w:color w:val="212121"/>
        </w:rPr>
        <w:t>根据相关法律法规规定和《基金合同》的约定，金鹰基金管理有限公司（以下简称“本基金管理人”）旗下金鹰</w:t>
      </w:r>
      <w:r w:rsidR="00C32C63">
        <w:rPr>
          <w:rFonts w:hAnsi="宋体" w:hint="eastAsia"/>
          <w:color w:val="212121"/>
        </w:rPr>
        <w:t>内需成长</w:t>
      </w:r>
      <w:r>
        <w:rPr>
          <w:rFonts w:hAnsi="宋体" w:hint="eastAsia"/>
          <w:color w:val="212121"/>
        </w:rPr>
        <w:t>混合型证券投资基金遵循《基金合同》中关于基金投资目标、投资</w:t>
      </w:r>
      <w:bookmarkStart w:id="0" w:name="_GoBack"/>
      <w:bookmarkEnd w:id="0"/>
      <w:r>
        <w:rPr>
          <w:rFonts w:hAnsi="宋体" w:hint="eastAsia"/>
          <w:color w:val="212121"/>
        </w:rPr>
        <w:t>策略、投资范围、资产配置比例、风险收益特征和相关风险控制指标的规定，本着谨慎和风险可控的原则，参与科创板股票的投资。</w:t>
      </w:r>
    </w:p>
    <w:p w:rsidR="00357D5B" w:rsidRDefault="00357D5B" w:rsidP="00765C2E">
      <w:pPr>
        <w:pStyle w:val="CM2"/>
        <w:spacing w:beforeLines="50" w:afterLines="50" w:line="360" w:lineRule="auto"/>
        <w:ind w:firstLineChars="200" w:firstLine="480"/>
        <w:jc w:val="both"/>
        <w:rPr>
          <w:rFonts w:hAnsi="宋体"/>
          <w:color w:val="212121"/>
        </w:rPr>
        <w:pPrChange w:id="1" w:author="ZHONGM" w:date="2020-09-02T00:00:00Z">
          <w:pPr>
            <w:pStyle w:val="CM2"/>
            <w:spacing w:beforeLines="50" w:afterLines="50" w:line="360" w:lineRule="auto"/>
            <w:ind w:firstLineChars="200" w:firstLine="480"/>
            <w:jc w:val="both"/>
          </w:pPr>
        </w:pPrChange>
      </w:pPr>
      <w:r>
        <w:rPr>
          <w:rFonts w:hAnsi="宋体" w:hint="eastAsia"/>
          <w:color w:val="212121"/>
        </w:rPr>
        <w:t>科创板股票具有下列投资风险，敬请投资者注意：</w:t>
      </w:r>
    </w:p>
    <w:p w:rsidR="00357D5B" w:rsidRDefault="00357D5B">
      <w:pPr>
        <w:pStyle w:val="CM2"/>
        <w:spacing w:line="360" w:lineRule="auto"/>
        <w:ind w:firstLineChars="200" w:firstLine="480"/>
        <w:jc w:val="both"/>
        <w:rPr>
          <w:rFonts w:hAnsi="宋体"/>
          <w:color w:val="212121"/>
        </w:rPr>
      </w:pPr>
      <w:r>
        <w:rPr>
          <w:rFonts w:hAnsi="宋体" w:hint="eastAsia"/>
          <w:color w:val="212121"/>
        </w:rPr>
        <w:t>基金资产投资于科创板股票，会面临科创板机制下因投资标的、市场制度以及交易规则等差异带来的特有风险，包括但不限于流动性风险、退市风险、投资集中度风险、市场风险、系统性风险、股价波动风险、政策风险等。基金可根据投资策略需要或市场环境的变化，选择将部分基金资产投资于科创板股票或选择不将基金资产投资于科创板股票，基金资产并非必然投资于科创板股票。</w:t>
      </w:r>
    </w:p>
    <w:p w:rsidR="00357D5B" w:rsidRDefault="00357D5B">
      <w:pPr>
        <w:pStyle w:val="CM2"/>
        <w:spacing w:line="360" w:lineRule="auto"/>
        <w:ind w:firstLineChars="200" w:firstLine="480"/>
        <w:jc w:val="both"/>
        <w:rPr>
          <w:rFonts w:hAnsi="宋体"/>
          <w:color w:val="212121"/>
        </w:rPr>
      </w:pPr>
      <w:r>
        <w:rPr>
          <w:rFonts w:hAnsi="宋体" w:hint="eastAsia"/>
          <w:color w:val="212121"/>
        </w:rPr>
        <w:t>投资科创板股票存在的风险包括：</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1</w:t>
      </w:r>
      <w:r>
        <w:rPr>
          <w:rFonts w:hAnsi="宋体" w:hint="eastAsia"/>
          <w:color w:val="212121"/>
        </w:rPr>
        <w:t>）科创板股票的流动性风险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科创板投资门槛高，个人投资者需要满足一定条件才可参与科创板股票投资，科创板股票流动性可能弱于其他市场板块，若机构投资者对个股形成一致性预期，存在股票无法成交的风险。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2</w:t>
      </w:r>
      <w:r>
        <w:rPr>
          <w:rFonts w:hAnsi="宋体" w:hint="eastAsia"/>
          <w:color w:val="212121"/>
        </w:rPr>
        <w:t>）科创板企业退市风险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科创板有更为严格的退市标准，且不设暂停上市、恢复上市和重新上市制度，科创板上市企业退市风险更大，可能给基金带来不利影响。</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3</w:t>
      </w:r>
      <w:r>
        <w:rPr>
          <w:rFonts w:hAnsi="宋体" w:hint="eastAsia"/>
          <w:color w:val="212121"/>
        </w:rPr>
        <w:t>）投资集中的风险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因科创板上市企业均为科技创新成长型，其商业模式、盈利风险、业绩波动等特征较为相似，基本难以通过分散投资降低投资风险，若股票价格同向波动，将引起基金净值波动。</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4</w:t>
      </w:r>
      <w:r>
        <w:rPr>
          <w:rFonts w:hAnsi="宋体" w:hint="eastAsia"/>
          <w:color w:val="212121"/>
        </w:rPr>
        <w:t>）市场风险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357D5B" w:rsidRDefault="00357D5B">
      <w:pPr>
        <w:pStyle w:val="CM2"/>
        <w:spacing w:line="360" w:lineRule="auto"/>
        <w:ind w:firstLineChars="200" w:firstLine="480"/>
        <w:jc w:val="both"/>
        <w:rPr>
          <w:rFonts w:hAnsi="宋体"/>
          <w:color w:val="212121"/>
        </w:rPr>
      </w:pPr>
      <w:r>
        <w:rPr>
          <w:rFonts w:hAnsi="宋体" w:hint="eastAsia"/>
          <w:color w:val="212121"/>
        </w:rPr>
        <w:lastRenderedPageBreak/>
        <w:t>科创板个股上市前五日无涨跌停限制，第六日开始涨跌幅限制在正负</w:t>
      </w:r>
      <w:r>
        <w:rPr>
          <w:rFonts w:hAnsi="宋体"/>
          <w:color w:val="212121"/>
        </w:rPr>
        <w:t>20%</w:t>
      </w:r>
      <w:r>
        <w:rPr>
          <w:rFonts w:hAnsi="宋体" w:hint="eastAsia"/>
          <w:color w:val="212121"/>
        </w:rPr>
        <w:t>以内，个股波动幅度较其他股票加大，市场风险随之上升。</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5</w:t>
      </w:r>
      <w:r>
        <w:rPr>
          <w:rFonts w:hAnsi="宋体" w:hint="eastAsia"/>
          <w:color w:val="212121"/>
        </w:rPr>
        <w:t>）系统性风险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科创板企业均为市场认可度较高的科技创新企业，在企业经营及盈利模式上存在趋同，所以科创板个股相关性较高，市场表现不佳时，系统性风险将更为显著。</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6</w:t>
      </w:r>
      <w:r>
        <w:rPr>
          <w:rFonts w:hAnsi="宋体" w:hint="eastAsia"/>
          <w:color w:val="212121"/>
        </w:rPr>
        <w:t>）股价波动风险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科创板新股发行价格、规模、节奏等坚持市场化导向，询价、定价、配售等环节由机构投资者主导。科创板新股发行全部采用询价定价方式，询价对象限定在证券公司等七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rsidR="00357D5B" w:rsidRDefault="00357D5B">
      <w:pPr>
        <w:pStyle w:val="CM2"/>
        <w:spacing w:line="360" w:lineRule="auto"/>
        <w:ind w:firstLineChars="200" w:firstLine="480"/>
        <w:jc w:val="both"/>
        <w:rPr>
          <w:rFonts w:hAnsi="宋体"/>
          <w:color w:val="212121"/>
        </w:rPr>
      </w:pPr>
      <w:r>
        <w:rPr>
          <w:rFonts w:hAnsi="宋体" w:hint="eastAsia"/>
          <w:color w:val="212121"/>
        </w:rPr>
        <w:t>（</w:t>
      </w:r>
      <w:r>
        <w:rPr>
          <w:rFonts w:hAnsi="宋体"/>
          <w:color w:val="212121"/>
        </w:rPr>
        <w:t>7</w:t>
      </w:r>
      <w:r>
        <w:rPr>
          <w:rFonts w:hAnsi="宋体" w:hint="eastAsia"/>
          <w:color w:val="212121"/>
        </w:rPr>
        <w:t>）政策风险</w:t>
      </w:r>
    </w:p>
    <w:p w:rsidR="00357D5B" w:rsidRDefault="00357D5B">
      <w:pPr>
        <w:pStyle w:val="CM4"/>
        <w:spacing w:line="360" w:lineRule="auto"/>
        <w:ind w:firstLineChars="200" w:firstLine="480"/>
        <w:jc w:val="both"/>
        <w:rPr>
          <w:rFonts w:hAnsi="宋体"/>
          <w:color w:val="212121"/>
        </w:rPr>
      </w:pPr>
      <w:r>
        <w:rPr>
          <w:rFonts w:hAnsi="宋体" w:hint="eastAsia"/>
          <w:color w:val="212121"/>
        </w:rPr>
        <w:t>国家对高新技术产业扶持力度及重视程度的变化会对科创板企业带来较大影响，国际经济形势变化对战略新兴产业及科创板个股也会带来政策影响。</w:t>
      </w:r>
    </w:p>
    <w:p w:rsidR="00357D5B" w:rsidRDefault="00357D5B" w:rsidP="00765C2E">
      <w:pPr>
        <w:pStyle w:val="CM2"/>
        <w:spacing w:beforeLines="100" w:line="360" w:lineRule="auto"/>
        <w:ind w:firstLineChars="200" w:firstLine="480"/>
        <w:jc w:val="both"/>
        <w:rPr>
          <w:rFonts w:hAnsi="宋体"/>
          <w:color w:val="212121"/>
        </w:rPr>
      </w:pPr>
      <w:r>
        <w:rPr>
          <w:rFonts w:hAnsi="宋体" w:hint="eastAsia"/>
          <w:color w:val="212121"/>
        </w:rPr>
        <w:t>风险提示：本基金管理人承诺以诚实信用、勤勉尽责的原则管理和运用基金资产，但不保证基金一定盈利，也不保证最低收益。投资有风险，决策须谨慎。销售机构根据法规要求对投资者类别、风险承受能力和基金的风险等级进行划分，并提出适当性匹配意见。</w:t>
      </w:r>
    </w:p>
    <w:p w:rsidR="00357D5B" w:rsidRDefault="00357D5B">
      <w:pPr>
        <w:pStyle w:val="CM2"/>
        <w:spacing w:line="360" w:lineRule="auto"/>
        <w:ind w:firstLineChars="200" w:firstLine="480"/>
        <w:jc w:val="both"/>
        <w:rPr>
          <w:rFonts w:eastAsia="Times New Roman"/>
        </w:rPr>
      </w:pPr>
      <w:r>
        <w:rPr>
          <w:rFonts w:hAnsi="宋体" w:hint="eastAsia"/>
          <w:color w:val="2121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57D5B" w:rsidRDefault="00357D5B" w:rsidP="00765C2E">
      <w:pPr>
        <w:pStyle w:val="Default"/>
        <w:spacing w:beforeLines="100"/>
        <w:ind w:firstLineChars="200" w:firstLine="480"/>
      </w:pPr>
      <w:r>
        <w:rPr>
          <w:rFonts w:hint="eastAsia"/>
        </w:rPr>
        <w:t>特此公告。</w:t>
      </w:r>
    </w:p>
    <w:p w:rsidR="00357D5B" w:rsidRDefault="00357D5B" w:rsidP="00765C2E">
      <w:pPr>
        <w:pStyle w:val="Default"/>
        <w:spacing w:beforeLines="100"/>
        <w:ind w:firstLineChars="200" w:firstLine="480"/>
        <w:rPr>
          <w:rFonts w:hAnsi="宋体"/>
        </w:rPr>
        <w:pPrChange w:id="2" w:author="ZHONGM" w:date="2020-09-02T00:00:00Z">
          <w:pPr>
            <w:pStyle w:val="Default"/>
            <w:spacing w:beforeLines="100"/>
            <w:ind w:firstLineChars="200" w:firstLine="480"/>
          </w:pPr>
        </w:pPrChange>
      </w:pPr>
    </w:p>
    <w:p w:rsidR="00357D5B" w:rsidRDefault="00357D5B">
      <w:pPr>
        <w:pStyle w:val="Default"/>
        <w:spacing w:line="360" w:lineRule="auto"/>
        <w:ind w:firstLineChars="200" w:firstLine="480"/>
        <w:jc w:val="right"/>
        <w:rPr>
          <w:rFonts w:hAnsi="宋体"/>
        </w:rPr>
      </w:pPr>
      <w:r>
        <w:rPr>
          <w:rFonts w:hAnsi="宋体" w:hint="eastAsia"/>
        </w:rPr>
        <w:t>金鹰基金管理有限公司</w:t>
      </w:r>
    </w:p>
    <w:p w:rsidR="00357D5B" w:rsidRDefault="00357D5B">
      <w:pPr>
        <w:pStyle w:val="Default"/>
        <w:spacing w:line="360" w:lineRule="auto"/>
        <w:ind w:firstLineChars="200" w:firstLine="480"/>
        <w:jc w:val="right"/>
        <w:rPr>
          <w:rFonts w:hAnsi="宋体"/>
        </w:rPr>
      </w:pPr>
      <w:r>
        <w:rPr>
          <w:rFonts w:hAnsi="宋体"/>
        </w:rPr>
        <w:t>20</w:t>
      </w:r>
      <w:r w:rsidR="00C0128B">
        <w:rPr>
          <w:rFonts w:hAnsi="宋体"/>
        </w:rPr>
        <w:t>20</w:t>
      </w:r>
      <w:r>
        <w:rPr>
          <w:rFonts w:hAnsi="宋体" w:hint="eastAsia"/>
        </w:rPr>
        <w:t>年</w:t>
      </w:r>
      <w:r w:rsidR="00C32C63">
        <w:rPr>
          <w:rFonts w:hAnsi="宋体"/>
        </w:rPr>
        <w:t>9</w:t>
      </w:r>
      <w:r>
        <w:rPr>
          <w:rFonts w:hAnsi="宋体" w:hint="eastAsia"/>
        </w:rPr>
        <w:t>月</w:t>
      </w:r>
      <w:r w:rsidR="00C32C63">
        <w:rPr>
          <w:rFonts w:hAnsi="宋体"/>
        </w:rPr>
        <w:t>2</w:t>
      </w:r>
      <w:r>
        <w:rPr>
          <w:rFonts w:hAnsi="宋体" w:hint="eastAsia"/>
        </w:rPr>
        <w:t>日</w:t>
      </w:r>
    </w:p>
    <w:sectPr w:rsidR="00357D5B" w:rsidSect="00592A30">
      <w:pgSz w:w="11900" w:h="17340"/>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C3" w:rsidRDefault="005660C3">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5660C3" w:rsidRDefault="005660C3">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C3" w:rsidRDefault="005660C3">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5660C3" w:rsidRDefault="005660C3">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060"/>
    <w:rsid w:val="000F6E3B"/>
    <w:rsid w:val="00156060"/>
    <w:rsid w:val="00164D5B"/>
    <w:rsid w:val="0018346D"/>
    <w:rsid w:val="001A4953"/>
    <w:rsid w:val="00357069"/>
    <w:rsid w:val="00357D5B"/>
    <w:rsid w:val="003F4AA6"/>
    <w:rsid w:val="00446108"/>
    <w:rsid w:val="005660C3"/>
    <w:rsid w:val="005677BC"/>
    <w:rsid w:val="00592A30"/>
    <w:rsid w:val="00633B90"/>
    <w:rsid w:val="00683843"/>
    <w:rsid w:val="00765C2E"/>
    <w:rsid w:val="007A6DA6"/>
    <w:rsid w:val="007F4061"/>
    <w:rsid w:val="00830B89"/>
    <w:rsid w:val="0094407A"/>
    <w:rsid w:val="0095365C"/>
    <w:rsid w:val="00B542A3"/>
    <w:rsid w:val="00B9715E"/>
    <w:rsid w:val="00C0128B"/>
    <w:rsid w:val="00C1759A"/>
    <w:rsid w:val="00C27F27"/>
    <w:rsid w:val="00C32C63"/>
    <w:rsid w:val="00D138C4"/>
    <w:rsid w:val="00D30BD4"/>
    <w:rsid w:val="00E26FB6"/>
    <w:rsid w:val="00EB0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qFormat="1"/>
    <w:lsdException w:name="No Spacing" w:semiHidden="0"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30"/>
    <w:pPr>
      <w:widowControl w:val="0"/>
      <w:jc w:val="both"/>
    </w:pPr>
    <w:rPr>
      <w:rFonts w:ascii="Calibri" w:hAnsi="Calibri"/>
    </w:rPr>
  </w:style>
  <w:style w:type="paragraph" w:styleId="3">
    <w:name w:val="heading 3"/>
    <w:basedOn w:val="a"/>
    <w:next w:val="a"/>
    <w:link w:val="3Char"/>
    <w:uiPriority w:val="9"/>
    <w:qFormat/>
    <w:rsid w:val="00592A30"/>
    <w:pPr>
      <w:spacing w:before="100" w:beforeAutospacing="1" w:after="100" w:afterAutospacing="1"/>
      <w:jc w:val="left"/>
      <w:outlineLvl w:val="2"/>
    </w:pPr>
    <w:rPr>
      <w:rFonts w:ascii="宋体" w:hAnsi="宋体"/>
      <w:b/>
      <w:kern w:val="0"/>
      <w:sz w:val="27"/>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locked/>
    <w:rsid w:val="00592A30"/>
    <w:rPr>
      <w:rFonts w:ascii="Calibri" w:hAnsi="Calibri" w:cs="Times New Roman"/>
      <w:b/>
      <w:bCs/>
      <w:sz w:val="32"/>
      <w:szCs w:val="32"/>
    </w:rPr>
  </w:style>
  <w:style w:type="character" w:customStyle="1" w:styleId="Char">
    <w:name w:val="批注框文本 Char"/>
    <w:basedOn w:val="a0"/>
    <w:link w:val="a3"/>
    <w:uiPriority w:val="99"/>
    <w:unhideWhenUsed/>
    <w:locked/>
    <w:rsid w:val="00592A30"/>
    <w:rPr>
      <w:rFonts w:cs="Times New Roman"/>
      <w:sz w:val="18"/>
    </w:rPr>
  </w:style>
  <w:style w:type="paragraph" w:styleId="a3">
    <w:name w:val="Balloon Text"/>
    <w:basedOn w:val="a"/>
    <w:link w:val="Char"/>
    <w:uiPriority w:val="99"/>
    <w:unhideWhenUsed/>
    <w:rsid w:val="00592A30"/>
    <w:rPr>
      <w:sz w:val="18"/>
      <w:szCs w:val="24"/>
    </w:rPr>
  </w:style>
  <w:style w:type="character" w:customStyle="1" w:styleId="Char1">
    <w:name w:val="批注框文本 Char1"/>
    <w:basedOn w:val="a0"/>
    <w:uiPriority w:val="99"/>
    <w:semiHidden/>
    <w:rsid w:val="00592A30"/>
    <w:rPr>
      <w:rFonts w:ascii="Calibri" w:hAnsi="Calibri"/>
      <w:sz w:val="18"/>
      <w:szCs w:val="18"/>
    </w:rPr>
  </w:style>
  <w:style w:type="character" w:customStyle="1" w:styleId="Char12">
    <w:name w:val="批注框文本 Char12"/>
    <w:basedOn w:val="a0"/>
    <w:uiPriority w:val="99"/>
    <w:semiHidden/>
    <w:rsid w:val="00592A30"/>
    <w:rPr>
      <w:rFonts w:ascii="Calibri" w:hAnsi="Calibri" w:cs="Times New Roman"/>
      <w:sz w:val="18"/>
      <w:szCs w:val="18"/>
    </w:rPr>
  </w:style>
  <w:style w:type="character" w:customStyle="1" w:styleId="Char11">
    <w:name w:val="批注框文本 Char11"/>
    <w:basedOn w:val="a0"/>
    <w:uiPriority w:val="99"/>
    <w:semiHidden/>
    <w:rsid w:val="00592A30"/>
    <w:rPr>
      <w:rFonts w:ascii="Calibri" w:hAnsi="Calibri" w:cs="Times New Roman"/>
      <w:sz w:val="18"/>
      <w:szCs w:val="18"/>
    </w:rPr>
  </w:style>
  <w:style w:type="paragraph" w:customStyle="1" w:styleId="CM4">
    <w:name w:val="CM4"/>
    <w:basedOn w:val="Default"/>
    <w:next w:val="Default"/>
    <w:uiPriority w:val="99"/>
    <w:unhideWhenUsed/>
    <w:rsid w:val="00592A30"/>
  </w:style>
  <w:style w:type="paragraph" w:customStyle="1" w:styleId="CM3">
    <w:name w:val="CM3"/>
    <w:basedOn w:val="Default"/>
    <w:next w:val="Default"/>
    <w:uiPriority w:val="99"/>
    <w:unhideWhenUsed/>
    <w:rsid w:val="00592A30"/>
  </w:style>
  <w:style w:type="paragraph" w:customStyle="1" w:styleId="CM2">
    <w:name w:val="CM2"/>
    <w:basedOn w:val="Default"/>
    <w:next w:val="Default"/>
    <w:uiPriority w:val="99"/>
    <w:unhideWhenUsed/>
    <w:rsid w:val="00592A30"/>
    <w:pPr>
      <w:spacing w:line="360" w:lineRule="atLeast"/>
    </w:pPr>
  </w:style>
  <w:style w:type="paragraph" w:customStyle="1" w:styleId="CM1">
    <w:name w:val="CM1"/>
    <w:basedOn w:val="Default"/>
    <w:next w:val="Default"/>
    <w:uiPriority w:val="99"/>
    <w:unhideWhenUsed/>
    <w:rsid w:val="00592A30"/>
  </w:style>
  <w:style w:type="paragraph" w:customStyle="1" w:styleId="Default">
    <w:name w:val="Default"/>
    <w:unhideWhenUsed/>
    <w:rsid w:val="00592A30"/>
    <w:pPr>
      <w:widowControl w:val="0"/>
      <w:autoSpaceDE w:val="0"/>
      <w:autoSpaceDN w:val="0"/>
      <w:adjustRightInd w:val="0"/>
    </w:pPr>
    <w:rPr>
      <w:rFonts w:ascii="宋体" w:hAnsi="Calibri"/>
      <w:color w:val="000000"/>
      <w:kern w:val="0"/>
      <w:sz w:val="24"/>
      <w:szCs w:val="24"/>
    </w:rPr>
  </w:style>
  <w:style w:type="paragraph" w:styleId="a4">
    <w:name w:val="header"/>
    <w:basedOn w:val="a"/>
    <w:link w:val="Char0"/>
    <w:uiPriority w:val="99"/>
    <w:unhideWhenUsed/>
    <w:rsid w:val="001560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156060"/>
    <w:rPr>
      <w:rFonts w:ascii="Calibri" w:hAnsi="Calibri" w:cs="Times New Roman"/>
      <w:sz w:val="18"/>
      <w:szCs w:val="18"/>
    </w:rPr>
  </w:style>
  <w:style w:type="paragraph" w:styleId="a5">
    <w:name w:val="footer"/>
    <w:basedOn w:val="a"/>
    <w:link w:val="Char2"/>
    <w:uiPriority w:val="99"/>
    <w:unhideWhenUsed/>
    <w:rsid w:val="00156060"/>
    <w:pPr>
      <w:tabs>
        <w:tab w:val="center" w:pos="4153"/>
        <w:tab w:val="right" w:pos="8306"/>
      </w:tabs>
      <w:snapToGrid w:val="0"/>
      <w:jc w:val="left"/>
    </w:pPr>
    <w:rPr>
      <w:sz w:val="18"/>
      <w:szCs w:val="18"/>
    </w:rPr>
  </w:style>
  <w:style w:type="character" w:customStyle="1" w:styleId="Char2">
    <w:name w:val="页脚 Char"/>
    <w:basedOn w:val="a0"/>
    <w:link w:val="a5"/>
    <w:uiPriority w:val="99"/>
    <w:locked/>
    <w:rsid w:val="00156060"/>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4</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cai.shuxuan</dc:creator>
  <cp:lastModifiedBy>ZHONGM</cp:lastModifiedBy>
  <cp:revision>2</cp:revision>
  <cp:lastPrinted>2019-10-21T07:40:00Z</cp:lastPrinted>
  <dcterms:created xsi:type="dcterms:W3CDTF">2020-09-01T16:00:00Z</dcterms:created>
  <dcterms:modified xsi:type="dcterms:W3CDTF">2020-09-01T16:00:00Z</dcterms:modified>
</cp:coreProperties>
</file>