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431516" w:rsidRPr="00745155">
        <w:rPr>
          <w:rFonts w:ascii="Times New Roman" w:eastAsia="宋体" w:hAnsi="Times New Roman" w:cs="Times New Roman"/>
          <w:b/>
          <w:color w:val="000000" w:themeColor="text1"/>
          <w:sz w:val="24"/>
          <w:szCs w:val="21"/>
        </w:rPr>
        <w:t>20</w:t>
      </w:r>
      <w:r w:rsidRPr="00745155">
        <w:rPr>
          <w:rFonts w:ascii="Times New Roman" w:eastAsia="宋体" w:hAnsi="Times New Roman" w:cs="Times New Roman"/>
          <w:b/>
          <w:color w:val="000000" w:themeColor="text1"/>
          <w:sz w:val="24"/>
          <w:szCs w:val="21"/>
        </w:rPr>
        <w:t>年</w:t>
      </w:r>
      <w:r w:rsidR="00AB45CC">
        <w:rPr>
          <w:rFonts w:ascii="Times New Roman" w:eastAsia="宋体" w:hAnsi="Times New Roman" w:cs="Times New Roman" w:hint="eastAsia"/>
          <w:b/>
          <w:color w:val="000000" w:themeColor="text1"/>
          <w:sz w:val="24"/>
          <w:szCs w:val="21"/>
        </w:rPr>
        <w:t>中期</w:t>
      </w:r>
      <w:r w:rsidR="00BB3501" w:rsidRPr="00745155">
        <w:rPr>
          <w:rFonts w:ascii="Times New Roman" w:eastAsia="宋体" w:hAnsi="Times New Roman" w:cs="Times New Roman"/>
          <w:b/>
          <w:color w:val="000000" w:themeColor="text1"/>
          <w:sz w:val="24"/>
          <w:szCs w:val="21"/>
        </w:rPr>
        <w:t>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20</w:t>
      </w:r>
      <w:r w:rsidR="002C4CBA"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中期</w:t>
      </w:r>
      <w:r w:rsidR="002C4CBA" w:rsidRPr="00745155">
        <w:rPr>
          <w:rFonts w:ascii="Times New Roman" w:eastAsia="宋体" w:hAnsi="Times New Roman" w:cs="Times New Roman"/>
          <w:color w:val="000000" w:themeColor="text1"/>
          <w:szCs w:val="21"/>
        </w:rPr>
        <w:t>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3A5D29" w:rsidRPr="00745155">
        <w:rPr>
          <w:rFonts w:ascii="Times New Roman" w:eastAsia="宋体" w:hAnsi="Times New Roman" w:cs="Times New Roman"/>
          <w:color w:val="000000" w:themeColor="text1"/>
          <w:szCs w:val="21"/>
        </w:rPr>
        <w:t>72</w:t>
      </w:r>
      <w:r w:rsidR="003A5D29" w:rsidRPr="00745155">
        <w:rPr>
          <w:rFonts w:ascii="Times New Roman" w:eastAsia="宋体" w:hAnsi="Times New Roman" w:cs="Times New Roman"/>
          <w:color w:val="000000" w:themeColor="text1"/>
          <w:szCs w:val="21"/>
        </w:rPr>
        <w:t>只基金（具体基金名称请见附表）的</w:t>
      </w:r>
      <w:r w:rsidR="00AB45CC" w:rsidRPr="00745155">
        <w:rPr>
          <w:rFonts w:ascii="Times New Roman" w:eastAsia="宋体" w:hAnsi="Times New Roman" w:cs="Times New Roman"/>
          <w:color w:val="000000" w:themeColor="text1"/>
          <w:szCs w:val="21"/>
        </w:rPr>
        <w:t>2020</w:t>
      </w:r>
      <w:r w:rsidR="00AB45CC"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中期</w:t>
      </w:r>
      <w:r w:rsidR="00AB45CC" w:rsidRPr="00745155">
        <w:rPr>
          <w:rFonts w:ascii="Times New Roman" w:eastAsia="宋体" w:hAnsi="Times New Roman" w:cs="Times New Roman"/>
          <w:color w:val="000000" w:themeColor="text1"/>
          <w:szCs w:val="21"/>
        </w:rPr>
        <w:t>报告</w:t>
      </w:r>
      <w:r w:rsidR="003A5D29" w:rsidRPr="00745155">
        <w:rPr>
          <w:rFonts w:ascii="Times New Roman" w:eastAsia="宋体" w:hAnsi="Times New Roman" w:cs="Times New Roman"/>
          <w:color w:val="000000" w:themeColor="text1"/>
          <w:szCs w:val="21"/>
        </w:rPr>
        <w:t>全文于</w:t>
      </w:r>
      <w:r w:rsidR="003A5D29" w:rsidRPr="00745155">
        <w:rPr>
          <w:rFonts w:ascii="Times New Roman" w:eastAsia="宋体" w:hAnsi="Times New Roman" w:cs="Times New Roman"/>
          <w:color w:val="000000" w:themeColor="text1"/>
          <w:szCs w:val="21"/>
        </w:rPr>
        <w:t>2020</w:t>
      </w:r>
      <w:r w:rsidR="003A5D29"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8</w:t>
      </w:r>
      <w:r w:rsidR="003A5D29"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Pr="00745155" w:rsidRDefault="003A5D29" w:rsidP="003A5D29">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w:t>
      </w:r>
      <w:bookmarkStart w:id="0" w:name="_GoBack"/>
      <w:bookmarkEnd w:id="0"/>
      <w:r w:rsidRPr="00745155">
        <w:rPr>
          <w:rFonts w:ascii="Times New Roman" w:eastAsia="宋体" w:hAnsi="Times New Roman" w:cs="Times New Roman"/>
          <w:color w:val="000000" w:themeColor="text1"/>
          <w:szCs w:val="21"/>
        </w:rPr>
        <w:t>的原则管理和运用基金资产，但不保证基金一定盈利，也不保证最低收益。请充分了解基金的风险收益特征，审慎做出投资决定。</w:t>
      </w: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Style w:val="ad"/>
        <w:tblW w:w="8784" w:type="dxa"/>
        <w:jc w:val="center"/>
        <w:tblLook w:val="04A0"/>
      </w:tblPr>
      <w:tblGrid>
        <w:gridCol w:w="988"/>
        <w:gridCol w:w="7796"/>
      </w:tblGrid>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上投摩根中国优势证券投资基金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上投摩根货币市场基金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上投摩根阿尔法混合型证券投资基金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上投摩根双息平衡混合型证券投资基金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上投摩根成长先锋混合型证券投资基金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上投摩根内需动力混合型证券投资基金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上投摩根亚太优势混合型证券投资基金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上投摩根双核平衡混合型证券投资基金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上投摩根中小盘混合型证券投资基金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上投摩根纯债债券型证券投资基金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上投摩根行业轮动混合型证券投资基金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上投摩根大盘蓝筹股票型证券投资基金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上投摩根全球新兴市场混合型证券投资基金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上投摩根新兴动力混合型证券投资基金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上投摩根强化回报债券型证券投资基金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上投摩根健康品质生活混合型证券投资基金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lastRenderedPageBreak/>
              <w:t>17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上投摩根全球天然资源混合型证券投资基金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上投摩根分红添利债券型证券投资基金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19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上投摩根中证消费服务领先指数证券投资基金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上投摩根核心优选混合型证券投资基金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上投摩根智选</w:t>
            </w:r>
            <w:r w:rsidRPr="00745155">
              <w:rPr>
                <w:rFonts w:ascii="Times New Roman" w:eastAsia="宋体" w:hAnsi="Times New Roman" w:cs="Times New Roman"/>
                <w:color w:val="000000" w:themeColor="text1"/>
                <w:szCs w:val="21"/>
              </w:rPr>
              <w:t>30</w:t>
            </w:r>
            <w:r w:rsidRPr="00745155">
              <w:rPr>
                <w:rFonts w:ascii="Times New Roman" w:eastAsia="宋体" w:hAnsi="Times New Roman" w:cs="Times New Roman"/>
                <w:color w:val="000000" w:themeColor="text1"/>
                <w:szCs w:val="21"/>
              </w:rPr>
              <w:t>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上投摩根成长动力混合型证券投资基金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上投摩根红利回报混合型证券投资基金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上投摩根转型动力灵活配置混合型证券投资基金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上投摩根双债增利债券型证券投资基金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上投摩根核心成长股票型证券投资基金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上投摩根民生需求股票型证券投资基金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上投摩根优信增利债券型证券投资基金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29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上投摩根纯债丰利债券型证券投资基金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上投摩根天添盈货币市场基金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上投摩根天添宝货币市场基金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上投摩根纯债添利债券型证券投资基金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上投摩根稳进回报混合型证券投资基金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上投摩根安全战略股票型证券投资基金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上投摩根卓越制造股票型证券投资基金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上投摩根整合驱动灵活配置混合型证券投资基金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上投摩根动态多因子策略灵活配置混合型证券投资基金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上投摩根智慧互联股票型证券投资基金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39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上投摩根科技前沿灵活配置混合型证券投资基金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上投摩根新兴服务股票型证券投资基金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上投摩根医疗健康股票型证券投资基金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上投摩根文体休闲灵活配置混合型证券投资基金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上投摩根中国生物医药混合型证券投资基金（</w:t>
            </w:r>
            <w:r w:rsidRPr="00745155">
              <w:rPr>
                <w:rFonts w:ascii="Times New Roman" w:eastAsia="宋体" w:hAnsi="Times New Roman" w:cs="Times New Roman"/>
                <w:color w:val="000000" w:themeColor="text1"/>
                <w:szCs w:val="21"/>
              </w:rPr>
              <w:t>QDII</w:t>
            </w:r>
            <w:r w:rsidRPr="00745155">
              <w:rPr>
                <w:rFonts w:ascii="Times New Roman" w:eastAsia="宋体" w:hAnsi="Times New Roman" w:cs="Times New Roman"/>
                <w:color w:val="000000" w:themeColor="text1"/>
                <w:szCs w:val="21"/>
              </w:rPr>
              <w:t>）</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上投摩根策略精选灵活配置混合型证券投资基金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lastRenderedPageBreak/>
              <w:t>45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上投摩根安鑫回报混合型证券投资基金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上投摩根中国世纪灵活配置混合型证券投资基金</w:t>
            </w:r>
            <w:r w:rsidRPr="00745155">
              <w:rPr>
                <w:rFonts w:ascii="Times New Roman" w:eastAsia="宋体" w:hAnsi="Times New Roman" w:cs="Times New Roman"/>
                <w:color w:val="000000" w:themeColor="text1"/>
                <w:szCs w:val="21"/>
              </w:rPr>
              <w:t>(QDII)</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上投摩根全球多元配置证券投资基金</w:t>
            </w:r>
            <w:r w:rsidRPr="00745155">
              <w:rPr>
                <w:rFonts w:ascii="Times New Roman" w:eastAsia="宋体" w:hAnsi="Times New Roman" w:cs="Times New Roman"/>
                <w:color w:val="000000" w:themeColor="text1"/>
                <w:szCs w:val="21"/>
              </w:rPr>
              <w:t>(QDII)</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48</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上投摩根安丰回报混合型证券投资基金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49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上投摩根安通回报混合型证券投资基金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上投摩根优选多因子股票型证券投资基金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上投摩根丰瑞债券型证券投资基金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上投摩根标普港股通低波红利指数型证券投资基金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上投摩根量化多因子灵活配置混合型证券投资基金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上投摩根岁岁益定期开放债券型证券投资基金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上投摩根安隆回报混合型证券投资基金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56</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上投摩根创新商业模式灵活配置混合型证券投资基金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57</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上投摩根富时发达市场</w:t>
            </w:r>
            <w:r w:rsidRPr="00745155">
              <w:rPr>
                <w:rFonts w:ascii="Times New Roman" w:eastAsia="宋体" w:hAnsi="Times New Roman" w:cs="Times New Roman"/>
                <w:color w:val="000000" w:themeColor="text1"/>
                <w:szCs w:val="21"/>
              </w:rPr>
              <w:t>REITs</w:t>
            </w:r>
            <w:r w:rsidRPr="00745155">
              <w:rPr>
                <w:rFonts w:ascii="Times New Roman" w:eastAsia="宋体" w:hAnsi="Times New Roman" w:cs="Times New Roman"/>
                <w:color w:val="000000" w:themeColor="text1"/>
                <w:szCs w:val="21"/>
              </w:rPr>
              <w:t>指数型证券投资基金（</w:t>
            </w:r>
            <w:r w:rsidRPr="00745155">
              <w:rPr>
                <w:rFonts w:ascii="Times New Roman" w:eastAsia="宋体" w:hAnsi="Times New Roman" w:cs="Times New Roman"/>
                <w:color w:val="000000" w:themeColor="text1"/>
                <w:szCs w:val="21"/>
              </w:rPr>
              <w:t>QDII</w:t>
            </w:r>
            <w:r w:rsidRPr="00745155">
              <w:rPr>
                <w:rFonts w:ascii="Times New Roman" w:eastAsia="宋体" w:hAnsi="Times New Roman" w:cs="Times New Roman"/>
                <w:color w:val="000000" w:themeColor="text1"/>
                <w:szCs w:val="21"/>
              </w:rPr>
              <w:t>）</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58</w:t>
            </w:r>
          </w:p>
        </w:tc>
        <w:tc>
          <w:tcPr>
            <w:tcW w:w="7796" w:type="dxa"/>
          </w:tcPr>
          <w:p w:rsidR="00F00F60" w:rsidRPr="00745155" w:rsidRDefault="00F00F60" w:rsidP="00693E97">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上投摩根香港精选港股通混合型证券投资基金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59</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上投摩根尚睿混合型基金中基金</w:t>
            </w:r>
            <w:r w:rsidRPr="00745155">
              <w:rPr>
                <w:rFonts w:ascii="Times New Roman" w:eastAsia="宋体" w:hAnsi="Times New Roman" w:cs="Times New Roman"/>
                <w:color w:val="000000" w:themeColor="text1"/>
                <w:szCs w:val="21"/>
              </w:rPr>
              <w:t>(FOF)</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60</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上投摩根安裕回报混合型证券投资基金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61</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上投摩根欧洲动力策略股票型证券投资基金</w:t>
            </w:r>
            <w:r w:rsidRPr="00745155">
              <w:rPr>
                <w:rFonts w:ascii="Times New Roman" w:eastAsia="宋体" w:hAnsi="Times New Roman" w:cs="Times New Roman"/>
                <w:color w:val="000000" w:themeColor="text1"/>
                <w:szCs w:val="21"/>
              </w:rPr>
              <w:t>(QDII)</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62</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上投摩根核心精选股票型证券投资基金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63</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上投摩根动力精选混合型证券投资基金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64</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上投摩根领先优选混合型证券投资基金</w:t>
            </w:r>
          </w:p>
        </w:tc>
      </w:tr>
      <w:tr w:rsidR="00F00F60" w:rsidRPr="00745155" w:rsidTr="00F00F60">
        <w:trPr>
          <w:jc w:val="center"/>
        </w:trPr>
        <w:tc>
          <w:tcPr>
            <w:tcW w:w="988" w:type="dxa"/>
          </w:tcPr>
          <w:p w:rsidR="00F00F60" w:rsidRPr="00745155" w:rsidRDefault="00F00F60" w:rsidP="003A5D29">
            <w:pPr>
              <w:spacing w:line="360" w:lineRule="auto"/>
              <w:jc w:val="center"/>
              <w:rPr>
                <w:rFonts w:ascii="Times New Roman" w:eastAsia="宋体" w:hAnsi="Times New Roman" w:cs="Times New Roman"/>
                <w:color w:val="000000" w:themeColor="text1"/>
                <w:szCs w:val="21"/>
              </w:rPr>
            </w:pPr>
            <w:r w:rsidRPr="00745155">
              <w:rPr>
                <w:rFonts w:ascii="Times New Roman" w:eastAsia="宋体" w:hAnsi="Times New Roman" w:cs="Times New Roman"/>
                <w:szCs w:val="21"/>
              </w:rPr>
              <w:t>65</w:t>
            </w:r>
          </w:p>
        </w:tc>
        <w:tc>
          <w:tcPr>
            <w:tcW w:w="7796" w:type="dxa"/>
          </w:tcPr>
          <w:p w:rsidR="00F00F60" w:rsidRPr="00745155" w:rsidRDefault="00F00F60"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上投摩根日本精选股票型证券投资基金（</w:t>
            </w:r>
            <w:r w:rsidRPr="00745155">
              <w:rPr>
                <w:rFonts w:ascii="Times New Roman" w:eastAsia="宋体" w:hAnsi="Times New Roman" w:cs="Times New Roman"/>
                <w:color w:val="000000" w:themeColor="text1"/>
                <w:szCs w:val="21"/>
              </w:rPr>
              <w:t>QDII</w:t>
            </w:r>
            <w:r w:rsidRPr="00745155">
              <w:rPr>
                <w:rFonts w:ascii="Times New Roman" w:eastAsia="宋体" w:hAnsi="Times New Roman" w:cs="Times New Roman"/>
                <w:color w:val="000000" w:themeColor="text1"/>
                <w:szCs w:val="21"/>
              </w:rPr>
              <w:t>）</w:t>
            </w:r>
          </w:p>
        </w:tc>
      </w:tr>
      <w:tr w:rsidR="002D074B" w:rsidRPr="00745155" w:rsidTr="00F00F60">
        <w:trPr>
          <w:jc w:val="center"/>
        </w:trPr>
        <w:tc>
          <w:tcPr>
            <w:tcW w:w="988" w:type="dxa"/>
          </w:tcPr>
          <w:p w:rsidR="002D074B" w:rsidRPr="00745155" w:rsidRDefault="002D074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66</w:t>
            </w:r>
          </w:p>
        </w:tc>
        <w:tc>
          <w:tcPr>
            <w:tcW w:w="7796" w:type="dxa"/>
          </w:tcPr>
          <w:p w:rsidR="002D074B" w:rsidRPr="00745155" w:rsidRDefault="002D074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上投摩根瑞利纯债债券型证券投资基金</w:t>
            </w:r>
          </w:p>
        </w:tc>
      </w:tr>
      <w:tr w:rsidR="002D074B" w:rsidRPr="00745155" w:rsidTr="00F00F60">
        <w:trPr>
          <w:jc w:val="center"/>
        </w:trPr>
        <w:tc>
          <w:tcPr>
            <w:tcW w:w="988" w:type="dxa"/>
          </w:tcPr>
          <w:p w:rsidR="002D074B" w:rsidRPr="00745155" w:rsidRDefault="002D074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67</w:t>
            </w:r>
          </w:p>
        </w:tc>
        <w:tc>
          <w:tcPr>
            <w:tcW w:w="7796" w:type="dxa"/>
          </w:tcPr>
          <w:p w:rsidR="002D074B" w:rsidRPr="00745155" w:rsidRDefault="002D074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上投摩根锦程均衡养老目标三年持有期混合型基金中基金（</w:t>
            </w:r>
            <w:r w:rsidRPr="00745155">
              <w:rPr>
                <w:rFonts w:ascii="Times New Roman" w:eastAsia="宋体" w:hAnsi="Times New Roman" w:cs="Times New Roman"/>
                <w:color w:val="000000" w:themeColor="text1"/>
                <w:szCs w:val="21"/>
              </w:rPr>
              <w:t>FOF</w:t>
            </w:r>
            <w:r w:rsidRPr="00745155">
              <w:rPr>
                <w:rFonts w:ascii="Times New Roman" w:eastAsia="宋体" w:hAnsi="Times New Roman" w:cs="Times New Roman"/>
                <w:color w:val="000000" w:themeColor="text1"/>
                <w:szCs w:val="21"/>
              </w:rPr>
              <w:t>）</w:t>
            </w:r>
          </w:p>
        </w:tc>
      </w:tr>
      <w:tr w:rsidR="0030733B" w:rsidRPr="00745155" w:rsidTr="00F00F60">
        <w:trPr>
          <w:jc w:val="center"/>
        </w:trPr>
        <w:tc>
          <w:tcPr>
            <w:tcW w:w="988" w:type="dxa"/>
          </w:tcPr>
          <w:p w:rsidR="0030733B" w:rsidRPr="00745155" w:rsidRDefault="0030733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68</w:t>
            </w:r>
          </w:p>
        </w:tc>
        <w:tc>
          <w:tcPr>
            <w:tcW w:w="7796" w:type="dxa"/>
          </w:tcPr>
          <w:p w:rsidR="0030733B" w:rsidRPr="00745155" w:rsidRDefault="0030733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上投摩根瑞益纯债债券型证券投资基金</w:t>
            </w:r>
          </w:p>
        </w:tc>
      </w:tr>
      <w:tr w:rsidR="0030733B" w:rsidRPr="00745155" w:rsidTr="00F00F60">
        <w:trPr>
          <w:jc w:val="center"/>
        </w:trPr>
        <w:tc>
          <w:tcPr>
            <w:tcW w:w="988" w:type="dxa"/>
          </w:tcPr>
          <w:p w:rsidR="0030733B" w:rsidRPr="00745155" w:rsidRDefault="0030733B"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69</w:t>
            </w:r>
          </w:p>
        </w:tc>
        <w:tc>
          <w:tcPr>
            <w:tcW w:w="7796" w:type="dxa"/>
          </w:tcPr>
          <w:p w:rsidR="0030733B" w:rsidRPr="00745155" w:rsidRDefault="0030733B"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上投摩根慧选成长股票型证券投资基金</w:t>
            </w:r>
          </w:p>
        </w:tc>
      </w:tr>
      <w:tr w:rsidR="003A5D29" w:rsidRPr="00745155" w:rsidTr="00F00F60">
        <w:trPr>
          <w:jc w:val="center"/>
        </w:trPr>
        <w:tc>
          <w:tcPr>
            <w:tcW w:w="988" w:type="dxa"/>
          </w:tcPr>
          <w:p w:rsidR="003A5D29" w:rsidRPr="00745155" w:rsidRDefault="003A5D29"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70</w:t>
            </w:r>
          </w:p>
        </w:tc>
        <w:tc>
          <w:tcPr>
            <w:tcW w:w="7796" w:type="dxa"/>
          </w:tcPr>
          <w:p w:rsidR="003A5D29" w:rsidRPr="00745155" w:rsidRDefault="003A5D29"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上投摩根瑞泰</w:t>
            </w:r>
            <w:r w:rsidRPr="00745155">
              <w:rPr>
                <w:rFonts w:ascii="Times New Roman" w:eastAsia="宋体" w:hAnsi="Times New Roman" w:cs="Times New Roman"/>
                <w:color w:val="000000" w:themeColor="text1"/>
                <w:szCs w:val="21"/>
              </w:rPr>
              <w:t>38</w:t>
            </w:r>
            <w:r w:rsidRPr="00745155">
              <w:rPr>
                <w:rFonts w:ascii="Times New Roman" w:eastAsia="宋体" w:hAnsi="Times New Roman" w:cs="Times New Roman"/>
                <w:color w:val="000000" w:themeColor="text1"/>
                <w:szCs w:val="21"/>
              </w:rPr>
              <w:t>个月定期开放债券型证券投资基金</w:t>
            </w:r>
          </w:p>
        </w:tc>
      </w:tr>
      <w:tr w:rsidR="003A5D29" w:rsidRPr="00745155" w:rsidTr="00F00F60">
        <w:trPr>
          <w:jc w:val="center"/>
        </w:trPr>
        <w:tc>
          <w:tcPr>
            <w:tcW w:w="988" w:type="dxa"/>
          </w:tcPr>
          <w:p w:rsidR="003A5D29" w:rsidRPr="00745155" w:rsidRDefault="003A5D29"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71</w:t>
            </w:r>
          </w:p>
        </w:tc>
        <w:tc>
          <w:tcPr>
            <w:tcW w:w="7796" w:type="dxa"/>
          </w:tcPr>
          <w:p w:rsidR="003A5D29" w:rsidRPr="00745155" w:rsidRDefault="003A5D29"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上投摩根锦程稳健养老目标一年持有期混合型基金中基金</w:t>
            </w:r>
            <w:r w:rsidRPr="00745155">
              <w:rPr>
                <w:rFonts w:ascii="Times New Roman" w:eastAsia="宋体" w:hAnsi="Times New Roman" w:cs="Times New Roman"/>
                <w:color w:val="000000" w:themeColor="text1"/>
                <w:szCs w:val="21"/>
              </w:rPr>
              <w:t>(FOF)</w:t>
            </w:r>
          </w:p>
        </w:tc>
      </w:tr>
      <w:tr w:rsidR="003A5D29" w:rsidRPr="00745155" w:rsidTr="00F00F60">
        <w:trPr>
          <w:jc w:val="center"/>
        </w:trPr>
        <w:tc>
          <w:tcPr>
            <w:tcW w:w="988" w:type="dxa"/>
          </w:tcPr>
          <w:p w:rsidR="003A5D29" w:rsidRPr="00745155" w:rsidRDefault="003A5D29" w:rsidP="003A5D29">
            <w:pPr>
              <w:spacing w:line="360" w:lineRule="auto"/>
              <w:jc w:val="center"/>
              <w:rPr>
                <w:rFonts w:ascii="Times New Roman" w:eastAsia="宋体" w:hAnsi="Times New Roman" w:cs="Times New Roman"/>
                <w:szCs w:val="21"/>
              </w:rPr>
            </w:pPr>
            <w:r w:rsidRPr="00745155">
              <w:rPr>
                <w:rFonts w:ascii="Times New Roman" w:eastAsia="宋体" w:hAnsi="Times New Roman" w:cs="Times New Roman"/>
                <w:szCs w:val="21"/>
              </w:rPr>
              <w:t>72</w:t>
            </w:r>
          </w:p>
        </w:tc>
        <w:tc>
          <w:tcPr>
            <w:tcW w:w="7796" w:type="dxa"/>
          </w:tcPr>
          <w:p w:rsidR="003A5D29" w:rsidRPr="00745155" w:rsidRDefault="003A5D29" w:rsidP="003A5D29">
            <w:pPr>
              <w:spacing w:line="360" w:lineRule="auto"/>
              <w:jc w:val="lef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上投摩根锦程积极成长养老目标五年持有期混合型发起式基金中基金</w:t>
            </w:r>
            <w:r w:rsidRPr="00745155">
              <w:rPr>
                <w:rFonts w:ascii="Times New Roman" w:eastAsia="宋体" w:hAnsi="Times New Roman" w:cs="Times New Roman"/>
                <w:color w:val="000000" w:themeColor="text1"/>
                <w:szCs w:val="21"/>
              </w:rPr>
              <w:t>(FOF)</w:t>
            </w:r>
          </w:p>
        </w:tc>
      </w:tr>
    </w:tbl>
    <w:p w:rsidR="00F00F60" w:rsidRPr="00745155" w:rsidRDefault="00F00F60"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20</w:t>
      </w:r>
      <w:r w:rsidR="00BB3501"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8</w:t>
      </w:r>
      <w:r w:rsidR="00BB3501"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03297">
        <w:pPr>
          <w:pStyle w:val="a4"/>
          <w:jc w:val="center"/>
        </w:pPr>
        <w:r>
          <w:fldChar w:fldCharType="begin"/>
        </w:r>
        <w:r w:rsidR="00084E7D">
          <w:instrText>PAGE   \* MERGEFORMAT</w:instrText>
        </w:r>
        <w:r>
          <w:fldChar w:fldCharType="separate"/>
        </w:r>
        <w:r w:rsidR="00837BA1" w:rsidRPr="00837BA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03297">
        <w:pPr>
          <w:pStyle w:val="a4"/>
          <w:jc w:val="center"/>
        </w:pPr>
        <w:r>
          <w:fldChar w:fldCharType="begin"/>
        </w:r>
        <w:r w:rsidR="00084E7D">
          <w:instrText>PAGE   \* MERGEFORMAT</w:instrText>
        </w:r>
        <w:r>
          <w:fldChar w:fldCharType="separate"/>
        </w:r>
        <w:r w:rsidR="00837BA1" w:rsidRPr="00837BA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827BF"/>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37BA1"/>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297"/>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5CC"/>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4EA1C-81A7-447D-AA74-36FA9432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1803</Characters>
  <Application>Microsoft Office Word</Application>
  <DocSecurity>4</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2020-08-30T16:29:00Z</dcterms:created>
  <dcterms:modified xsi:type="dcterms:W3CDTF">2020-08-30T16:29:00Z</dcterms:modified>
</cp:coreProperties>
</file>