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43" w:rsidRPr="006701FC" w:rsidRDefault="00C7569E" w:rsidP="005A47EC">
      <w:pPr>
        <w:spacing w:line="360" w:lineRule="auto"/>
        <w:ind w:left="353" w:hanging="353"/>
        <w:jc w:val="center"/>
        <w:rPr>
          <w:rFonts w:asciiTheme="minorEastAsia" w:hAnsiTheme="minorEastAsia" w:cs="Times New Roman"/>
          <w:b/>
          <w:bCs/>
          <w:sz w:val="28"/>
          <w:szCs w:val="28"/>
        </w:rPr>
      </w:pPr>
      <w:r w:rsidRPr="006701FC">
        <w:rPr>
          <w:rFonts w:asciiTheme="minorEastAsia" w:hAnsiTheme="minorEastAsia" w:cs="Times New Roman" w:hint="eastAsia"/>
          <w:b/>
          <w:bCs/>
          <w:sz w:val="28"/>
          <w:szCs w:val="28"/>
        </w:rPr>
        <w:t>国泰基金管理有限公司</w:t>
      </w:r>
      <w:r w:rsidR="007300ED" w:rsidRPr="006701FC">
        <w:rPr>
          <w:rFonts w:asciiTheme="minorEastAsia" w:hAnsiTheme="minorEastAsia" w:cs="Times New Roman" w:hint="eastAsia"/>
          <w:b/>
          <w:bCs/>
          <w:sz w:val="28"/>
          <w:szCs w:val="28"/>
        </w:rPr>
        <w:t>关于</w:t>
      </w:r>
      <w:r w:rsidR="0093785C" w:rsidRPr="006701FC">
        <w:rPr>
          <w:rFonts w:asciiTheme="minorEastAsia" w:hAnsiTheme="minorEastAsia" w:cs="Times New Roman" w:hint="eastAsia"/>
          <w:b/>
          <w:bCs/>
          <w:sz w:val="28"/>
          <w:szCs w:val="28"/>
        </w:rPr>
        <w:t>旗下</w:t>
      </w:r>
      <w:r w:rsidR="002843D5">
        <w:rPr>
          <w:rFonts w:asciiTheme="minorEastAsia" w:hAnsiTheme="minorEastAsia" w:cs="Times New Roman" w:hint="eastAsia"/>
          <w:b/>
          <w:bCs/>
          <w:sz w:val="28"/>
          <w:szCs w:val="28"/>
        </w:rPr>
        <w:t>部分</w:t>
      </w:r>
      <w:r w:rsidR="005A47EC" w:rsidRPr="006701FC">
        <w:rPr>
          <w:rFonts w:asciiTheme="minorEastAsia" w:hAnsiTheme="minorEastAsia" w:cs="Times New Roman" w:hint="eastAsia"/>
          <w:b/>
          <w:bCs/>
          <w:sz w:val="28"/>
          <w:szCs w:val="28"/>
        </w:rPr>
        <w:t>交易型开放式</w:t>
      </w:r>
      <w:r w:rsidR="0093785C" w:rsidRPr="006701FC">
        <w:rPr>
          <w:rFonts w:asciiTheme="minorEastAsia" w:hAnsiTheme="minorEastAsia" w:cs="Times New Roman" w:hint="eastAsia"/>
          <w:b/>
          <w:bCs/>
          <w:sz w:val="28"/>
          <w:szCs w:val="28"/>
        </w:rPr>
        <w:t>基金新增</w:t>
      </w:r>
      <w:r w:rsidR="002843D5" w:rsidRPr="002843D5">
        <w:rPr>
          <w:rFonts w:asciiTheme="minorEastAsia" w:hAnsiTheme="minorEastAsia" w:cs="Times New Roman" w:hint="eastAsia"/>
          <w:b/>
          <w:bCs/>
          <w:sz w:val="28"/>
          <w:szCs w:val="28"/>
        </w:rPr>
        <w:t>华创证券有限责任公司</w:t>
      </w:r>
      <w:r w:rsidR="0093785C" w:rsidRPr="006701FC">
        <w:rPr>
          <w:rFonts w:asciiTheme="minorEastAsia" w:hAnsiTheme="minorEastAsia" w:cs="Times New Roman" w:hint="eastAsia"/>
          <w:b/>
          <w:bCs/>
          <w:sz w:val="28"/>
          <w:szCs w:val="28"/>
        </w:rPr>
        <w:t>为一级交易商</w:t>
      </w:r>
      <w:r w:rsidR="007300ED" w:rsidRPr="006701FC">
        <w:rPr>
          <w:rFonts w:asciiTheme="minorEastAsia" w:hAnsiTheme="minorEastAsia" w:cs="Times New Roman" w:hint="eastAsia"/>
          <w:b/>
          <w:bCs/>
          <w:sz w:val="28"/>
          <w:szCs w:val="28"/>
        </w:rPr>
        <w:t>的公告</w:t>
      </w:r>
    </w:p>
    <w:p w:rsidR="000A321D" w:rsidRPr="006701FC" w:rsidRDefault="000A321D" w:rsidP="005A47EC">
      <w:pPr>
        <w:spacing w:line="360" w:lineRule="auto"/>
        <w:ind w:left="353" w:hanging="353"/>
        <w:jc w:val="center"/>
        <w:rPr>
          <w:rFonts w:asciiTheme="minorEastAsia" w:hAnsiTheme="minorEastAsia" w:cs="Times New Roman"/>
          <w:b/>
          <w:bCs/>
          <w:szCs w:val="21"/>
        </w:rPr>
      </w:pPr>
    </w:p>
    <w:p w:rsidR="00E660ED" w:rsidRPr="006701FC" w:rsidRDefault="001A50CD" w:rsidP="00D307F3">
      <w:pPr>
        <w:pStyle w:val="Default"/>
        <w:tabs>
          <w:tab w:val="left" w:pos="426"/>
        </w:tabs>
        <w:spacing w:line="360" w:lineRule="auto"/>
        <w:ind w:leftChars="43" w:left="90" w:firstLineChars="207" w:firstLine="435"/>
        <w:jc w:val="both"/>
        <w:rPr>
          <w:rFonts w:asciiTheme="minorEastAsia" w:eastAsiaTheme="minorEastAsia" w:hAnsiTheme="minorEastAsia" w:cs="Times New Roman"/>
          <w:sz w:val="21"/>
          <w:szCs w:val="21"/>
        </w:rPr>
      </w:pPr>
      <w:r w:rsidRPr="006701FC">
        <w:rPr>
          <w:rFonts w:asciiTheme="minorEastAsia" w:eastAsiaTheme="minorEastAsia" w:hAnsiTheme="minorEastAsia" w:cs="Times New Roman" w:hint="eastAsia"/>
          <w:sz w:val="21"/>
          <w:szCs w:val="21"/>
        </w:rPr>
        <w:t>国泰基金管理有限公司（以下简称“本基金管理人”）</w:t>
      </w:r>
      <w:r w:rsidR="0093785C" w:rsidRPr="006701FC">
        <w:rPr>
          <w:rFonts w:asciiTheme="minorEastAsia" w:eastAsiaTheme="minorEastAsia" w:hAnsiTheme="minorEastAsia" w:cs="Times New Roman" w:hint="eastAsia"/>
          <w:sz w:val="21"/>
          <w:szCs w:val="21"/>
        </w:rPr>
        <w:t>旗下</w:t>
      </w:r>
      <w:r w:rsidR="002843D5">
        <w:rPr>
          <w:rFonts w:asciiTheme="minorEastAsia" w:eastAsiaTheme="minorEastAsia" w:hAnsiTheme="minorEastAsia" w:cs="Times New Roman" w:hint="eastAsia"/>
          <w:sz w:val="21"/>
          <w:szCs w:val="21"/>
        </w:rPr>
        <w:t>部分</w:t>
      </w:r>
      <w:r w:rsidR="0093785C" w:rsidRPr="006701FC">
        <w:rPr>
          <w:rFonts w:asciiTheme="minorEastAsia" w:eastAsiaTheme="minorEastAsia" w:hAnsiTheme="minorEastAsia" w:cs="Times New Roman" w:hint="eastAsia"/>
          <w:sz w:val="21"/>
          <w:szCs w:val="21"/>
        </w:rPr>
        <w:t>交易型开放式基金自</w:t>
      </w:r>
      <w:r w:rsidR="004A7771" w:rsidRPr="006701FC">
        <w:rPr>
          <w:rFonts w:asciiTheme="minorEastAsia" w:eastAsiaTheme="minorEastAsia" w:hAnsiTheme="minorEastAsia" w:cs="Times New Roman"/>
          <w:sz w:val="21"/>
          <w:szCs w:val="21"/>
        </w:rPr>
        <w:t>2020</w:t>
      </w:r>
      <w:r w:rsidR="004A7771" w:rsidRPr="006701FC">
        <w:rPr>
          <w:rFonts w:asciiTheme="minorEastAsia" w:eastAsiaTheme="minorEastAsia" w:hAnsiTheme="minorEastAsia" w:cs="Times New Roman" w:hint="eastAsia"/>
          <w:sz w:val="21"/>
          <w:szCs w:val="21"/>
        </w:rPr>
        <w:t>年</w:t>
      </w:r>
      <w:r w:rsidR="000948C3" w:rsidRPr="006701FC">
        <w:rPr>
          <w:rFonts w:asciiTheme="minorEastAsia" w:eastAsiaTheme="minorEastAsia" w:hAnsiTheme="minorEastAsia" w:cs="Times New Roman" w:hint="eastAsia"/>
          <w:sz w:val="21"/>
          <w:szCs w:val="21"/>
        </w:rPr>
        <w:t>8</w:t>
      </w:r>
      <w:r w:rsidR="0093785C" w:rsidRPr="006701FC">
        <w:rPr>
          <w:rFonts w:asciiTheme="minorEastAsia" w:eastAsiaTheme="minorEastAsia" w:hAnsiTheme="minorEastAsia" w:cs="Times New Roman" w:hint="eastAsia"/>
          <w:sz w:val="21"/>
          <w:szCs w:val="21"/>
        </w:rPr>
        <w:t>月</w:t>
      </w:r>
      <w:r w:rsidR="002843D5">
        <w:rPr>
          <w:rFonts w:asciiTheme="minorEastAsia" w:eastAsiaTheme="minorEastAsia" w:hAnsiTheme="minorEastAsia" w:cs="Times New Roman" w:hint="eastAsia"/>
          <w:sz w:val="21"/>
          <w:szCs w:val="21"/>
        </w:rPr>
        <w:t>27</w:t>
      </w:r>
      <w:r w:rsidR="0093785C" w:rsidRPr="006701FC">
        <w:rPr>
          <w:rFonts w:asciiTheme="minorEastAsia" w:eastAsiaTheme="minorEastAsia" w:hAnsiTheme="minorEastAsia" w:cs="Times New Roman" w:hint="eastAsia"/>
          <w:sz w:val="21"/>
          <w:szCs w:val="21"/>
        </w:rPr>
        <w:t>日起增加</w:t>
      </w:r>
      <w:r w:rsidR="002843D5" w:rsidRPr="002843D5">
        <w:rPr>
          <w:rFonts w:asciiTheme="minorEastAsia" w:eastAsiaTheme="minorEastAsia" w:hAnsiTheme="minorEastAsia" w:cs="Times New Roman" w:hint="eastAsia"/>
          <w:sz w:val="21"/>
          <w:szCs w:val="21"/>
        </w:rPr>
        <w:t>华创证券有限责任公司</w:t>
      </w:r>
      <w:r w:rsidR="00992974" w:rsidRPr="006701FC">
        <w:rPr>
          <w:rFonts w:asciiTheme="minorEastAsia" w:eastAsiaTheme="minorEastAsia" w:hAnsiTheme="minorEastAsia" w:cs="Times New Roman" w:hint="eastAsia"/>
          <w:sz w:val="21"/>
          <w:szCs w:val="21"/>
        </w:rPr>
        <w:t>（以下简称“</w:t>
      </w:r>
      <w:r w:rsidR="002843D5">
        <w:rPr>
          <w:rFonts w:asciiTheme="minorEastAsia" w:eastAsiaTheme="minorEastAsia" w:hAnsiTheme="minorEastAsia" w:cs="Times New Roman" w:hint="eastAsia"/>
          <w:sz w:val="21"/>
          <w:szCs w:val="21"/>
        </w:rPr>
        <w:t>华创</w:t>
      </w:r>
      <w:r w:rsidR="00992974" w:rsidRPr="006701FC">
        <w:rPr>
          <w:rFonts w:asciiTheme="minorEastAsia" w:eastAsiaTheme="minorEastAsia" w:hAnsiTheme="minorEastAsia" w:cs="Times New Roman" w:hint="eastAsia"/>
          <w:sz w:val="21"/>
          <w:szCs w:val="21"/>
        </w:rPr>
        <w:t>证券”）</w:t>
      </w:r>
      <w:r w:rsidR="0093785C" w:rsidRPr="006701FC">
        <w:rPr>
          <w:rFonts w:asciiTheme="minorEastAsia" w:eastAsiaTheme="minorEastAsia" w:hAnsiTheme="minorEastAsia" w:cs="Times New Roman" w:hint="eastAsia"/>
          <w:sz w:val="21"/>
          <w:szCs w:val="21"/>
        </w:rPr>
        <w:t>为申购赎回代理券商（以下简称“一级交易商”）。投资者可通过</w:t>
      </w:r>
      <w:r w:rsidR="002843D5">
        <w:rPr>
          <w:rFonts w:asciiTheme="minorEastAsia" w:eastAsiaTheme="minorEastAsia" w:hAnsiTheme="minorEastAsia" w:cs="Times New Roman" w:hint="eastAsia"/>
          <w:sz w:val="21"/>
          <w:szCs w:val="21"/>
        </w:rPr>
        <w:t>华创</w:t>
      </w:r>
      <w:r w:rsidR="00643A61" w:rsidRPr="006701FC">
        <w:rPr>
          <w:rFonts w:asciiTheme="minorEastAsia" w:eastAsiaTheme="minorEastAsia" w:hAnsiTheme="minorEastAsia" w:cs="Times New Roman" w:hint="eastAsia"/>
          <w:sz w:val="21"/>
          <w:szCs w:val="21"/>
        </w:rPr>
        <w:t>证券</w:t>
      </w:r>
      <w:r w:rsidR="0093785C" w:rsidRPr="006701FC">
        <w:rPr>
          <w:rFonts w:asciiTheme="minorEastAsia" w:eastAsiaTheme="minorEastAsia" w:hAnsiTheme="minorEastAsia" w:cs="Times New Roman" w:hint="eastAsia"/>
          <w:sz w:val="21"/>
          <w:szCs w:val="21"/>
        </w:rPr>
        <w:t>各营业网</w:t>
      </w:r>
      <w:bookmarkStart w:id="0" w:name="_GoBack"/>
      <w:bookmarkEnd w:id="0"/>
      <w:r w:rsidR="0093785C" w:rsidRPr="006701FC">
        <w:rPr>
          <w:rFonts w:asciiTheme="minorEastAsia" w:eastAsiaTheme="minorEastAsia" w:hAnsiTheme="minorEastAsia" w:cs="Times New Roman" w:hint="eastAsia"/>
          <w:sz w:val="21"/>
          <w:szCs w:val="21"/>
        </w:rPr>
        <w:t>点办理</w:t>
      </w:r>
      <w:r w:rsidR="00912CC9" w:rsidRPr="006701FC">
        <w:rPr>
          <w:rFonts w:asciiTheme="minorEastAsia" w:eastAsiaTheme="minorEastAsia" w:hAnsiTheme="minorEastAsia" w:cs="Times New Roman" w:hint="eastAsia"/>
          <w:sz w:val="21"/>
          <w:szCs w:val="21"/>
        </w:rPr>
        <w:t>相关</w:t>
      </w:r>
      <w:r w:rsidR="0093785C" w:rsidRPr="006701FC">
        <w:rPr>
          <w:rFonts w:asciiTheme="minorEastAsia" w:eastAsiaTheme="minorEastAsia" w:hAnsiTheme="minorEastAsia" w:cs="Times New Roman" w:hint="eastAsia"/>
          <w:sz w:val="21"/>
          <w:szCs w:val="21"/>
        </w:rPr>
        <w:t>基金的申购、赎回等业务。</w:t>
      </w:r>
      <w:r w:rsidR="00912CC9" w:rsidRPr="006701FC">
        <w:rPr>
          <w:rFonts w:asciiTheme="minorEastAsia" w:eastAsiaTheme="minorEastAsia" w:hAnsiTheme="minorEastAsia" w:cs="Times New Roman" w:hint="eastAsia"/>
          <w:sz w:val="21"/>
          <w:szCs w:val="21"/>
        </w:rPr>
        <w:t>具体公告如下：</w:t>
      </w:r>
    </w:p>
    <w:p w:rsidR="00DE3113" w:rsidRPr="006701FC" w:rsidRDefault="009864C9" w:rsidP="00DE3113">
      <w:pPr>
        <w:pStyle w:val="CM12"/>
        <w:numPr>
          <w:ilvl w:val="0"/>
          <w:numId w:val="3"/>
        </w:numPr>
        <w:spacing w:line="360" w:lineRule="auto"/>
        <w:jc w:val="both"/>
        <w:rPr>
          <w:rFonts w:asciiTheme="minorEastAsia" w:eastAsiaTheme="minorEastAsia" w:hAnsiTheme="minorEastAsia" w:cs="Times New Roman"/>
          <w:color w:val="000000"/>
          <w:sz w:val="21"/>
          <w:szCs w:val="21"/>
        </w:rPr>
      </w:pPr>
      <w:r w:rsidRPr="006701FC">
        <w:rPr>
          <w:rFonts w:asciiTheme="minorEastAsia" w:eastAsiaTheme="minorEastAsia" w:hAnsiTheme="minorEastAsia" w:cs="Times New Roman" w:hint="eastAsia"/>
          <w:color w:val="000000"/>
          <w:sz w:val="21"/>
          <w:szCs w:val="21"/>
        </w:rPr>
        <w:t>适用基金列表</w:t>
      </w:r>
      <w:r w:rsidR="007F40B3" w:rsidRPr="006701FC">
        <w:rPr>
          <w:rFonts w:asciiTheme="minorEastAsia" w:eastAsiaTheme="minorEastAsia" w:hAnsiTheme="minorEastAsia" w:cs="Times New Roman" w:hint="eastAsia"/>
          <w:color w:val="000000"/>
          <w:sz w:val="21"/>
          <w:szCs w:val="21"/>
        </w:rPr>
        <w:t>：</w:t>
      </w:r>
    </w:p>
    <w:tbl>
      <w:tblPr>
        <w:tblW w:w="0" w:type="auto"/>
        <w:jc w:val="center"/>
        <w:tblLook w:val="04A0"/>
      </w:tblPr>
      <w:tblGrid>
        <w:gridCol w:w="1450"/>
        <w:gridCol w:w="5953"/>
      </w:tblGrid>
      <w:tr w:rsidR="000948C3" w:rsidRPr="006701FC" w:rsidTr="000948C3">
        <w:trPr>
          <w:trHeight w:val="473"/>
          <w:jc w:val="center"/>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8C3" w:rsidRPr="000948C3" w:rsidRDefault="000948C3" w:rsidP="000948C3">
            <w:pPr>
              <w:widowControl/>
              <w:jc w:val="center"/>
              <w:rPr>
                <w:rFonts w:asciiTheme="minorEastAsia" w:hAnsiTheme="minorEastAsia" w:cs="宋体"/>
                <w:bCs/>
                <w:kern w:val="0"/>
                <w:szCs w:val="21"/>
              </w:rPr>
            </w:pPr>
            <w:r w:rsidRPr="000948C3">
              <w:rPr>
                <w:rFonts w:asciiTheme="minorEastAsia" w:hAnsiTheme="minorEastAsia" w:cs="宋体" w:hint="eastAsia"/>
                <w:bCs/>
                <w:kern w:val="0"/>
                <w:szCs w:val="21"/>
              </w:rPr>
              <w:t>基金代码</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0948C3" w:rsidRPr="000948C3" w:rsidRDefault="000948C3" w:rsidP="000948C3">
            <w:pPr>
              <w:widowControl/>
              <w:jc w:val="center"/>
              <w:rPr>
                <w:rFonts w:asciiTheme="minorEastAsia" w:hAnsiTheme="minorEastAsia" w:cs="宋体"/>
                <w:bCs/>
                <w:kern w:val="0"/>
                <w:szCs w:val="21"/>
              </w:rPr>
            </w:pPr>
            <w:r w:rsidRPr="000948C3">
              <w:rPr>
                <w:rFonts w:asciiTheme="minorEastAsia" w:hAnsiTheme="minorEastAsia" w:cs="宋体" w:hint="eastAsia"/>
                <w:bCs/>
                <w:kern w:val="0"/>
                <w:szCs w:val="21"/>
              </w:rPr>
              <w:t>基金名称</w:t>
            </w:r>
          </w:p>
        </w:tc>
      </w:tr>
      <w:tr w:rsidR="008B6280" w:rsidRPr="006701FC" w:rsidTr="000948C3">
        <w:trPr>
          <w:trHeight w:val="473"/>
          <w:jc w:val="center"/>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8B6280" w:rsidRPr="000948C3" w:rsidRDefault="008B6280" w:rsidP="000948C3">
            <w:pPr>
              <w:widowControl/>
              <w:jc w:val="center"/>
              <w:rPr>
                <w:rFonts w:asciiTheme="minorEastAsia" w:hAnsiTheme="minorEastAsia" w:cs="宋体"/>
                <w:bCs/>
                <w:kern w:val="0"/>
                <w:szCs w:val="21"/>
              </w:rPr>
            </w:pPr>
            <w:r w:rsidRPr="000948C3">
              <w:rPr>
                <w:rFonts w:asciiTheme="minorEastAsia" w:hAnsiTheme="minorEastAsia" w:cs="宋体" w:hint="eastAsia"/>
                <w:kern w:val="0"/>
                <w:szCs w:val="21"/>
              </w:rPr>
              <w:t>159806</w:t>
            </w:r>
          </w:p>
        </w:tc>
        <w:tc>
          <w:tcPr>
            <w:tcW w:w="5953" w:type="dxa"/>
            <w:tcBorders>
              <w:top w:val="single" w:sz="4" w:space="0" w:color="auto"/>
              <w:left w:val="nil"/>
              <w:bottom w:val="single" w:sz="4" w:space="0" w:color="auto"/>
              <w:right w:val="single" w:sz="4" w:space="0" w:color="auto"/>
            </w:tcBorders>
            <w:shd w:val="clear" w:color="auto" w:fill="auto"/>
            <w:vAlign w:val="center"/>
          </w:tcPr>
          <w:p w:rsidR="008B6280" w:rsidRPr="000948C3" w:rsidRDefault="008B6280" w:rsidP="00D5066B">
            <w:pPr>
              <w:widowControl/>
              <w:jc w:val="left"/>
              <w:rPr>
                <w:rFonts w:asciiTheme="minorEastAsia" w:hAnsiTheme="minorEastAsia" w:cs="宋体"/>
                <w:bCs/>
                <w:kern w:val="0"/>
                <w:szCs w:val="21"/>
              </w:rPr>
            </w:pPr>
            <w:r w:rsidRPr="000948C3">
              <w:rPr>
                <w:rFonts w:asciiTheme="minorEastAsia" w:hAnsiTheme="minorEastAsia" w:cs="宋体" w:hint="eastAsia"/>
                <w:kern w:val="0"/>
                <w:szCs w:val="21"/>
              </w:rPr>
              <w:t>国泰中证新能源汽车交易型开放式指数证券投资基金</w:t>
            </w:r>
          </w:p>
        </w:tc>
      </w:tr>
      <w:tr w:rsidR="008B6280" w:rsidRPr="006701FC" w:rsidTr="000948C3">
        <w:trPr>
          <w:trHeight w:val="473"/>
          <w:jc w:val="center"/>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8B6280" w:rsidRPr="000948C3" w:rsidRDefault="008B6280" w:rsidP="000948C3">
            <w:pPr>
              <w:widowControl/>
              <w:jc w:val="center"/>
              <w:rPr>
                <w:rFonts w:asciiTheme="minorEastAsia" w:hAnsiTheme="minorEastAsia" w:cs="宋体"/>
                <w:bCs/>
                <w:kern w:val="0"/>
                <w:szCs w:val="21"/>
              </w:rPr>
            </w:pPr>
            <w:r w:rsidRPr="000948C3">
              <w:rPr>
                <w:rFonts w:asciiTheme="minorEastAsia" w:hAnsiTheme="minorEastAsia" w:cs="宋体" w:hint="eastAsia"/>
                <w:kern w:val="0"/>
                <w:szCs w:val="21"/>
              </w:rPr>
              <w:t>159996</w:t>
            </w:r>
          </w:p>
        </w:tc>
        <w:tc>
          <w:tcPr>
            <w:tcW w:w="5953" w:type="dxa"/>
            <w:tcBorders>
              <w:top w:val="single" w:sz="4" w:space="0" w:color="auto"/>
              <w:left w:val="nil"/>
              <w:bottom w:val="single" w:sz="4" w:space="0" w:color="auto"/>
              <w:right w:val="single" w:sz="4" w:space="0" w:color="auto"/>
            </w:tcBorders>
            <w:shd w:val="clear" w:color="auto" w:fill="auto"/>
            <w:vAlign w:val="center"/>
          </w:tcPr>
          <w:p w:rsidR="008B6280" w:rsidRPr="000948C3" w:rsidRDefault="008B6280" w:rsidP="00D5066B">
            <w:pPr>
              <w:widowControl/>
              <w:jc w:val="left"/>
              <w:rPr>
                <w:rFonts w:asciiTheme="minorEastAsia" w:hAnsiTheme="minorEastAsia" w:cs="宋体"/>
                <w:bCs/>
                <w:kern w:val="0"/>
                <w:szCs w:val="21"/>
              </w:rPr>
            </w:pPr>
            <w:r w:rsidRPr="000948C3">
              <w:rPr>
                <w:rFonts w:asciiTheme="minorEastAsia" w:hAnsiTheme="minorEastAsia" w:cs="宋体" w:hint="eastAsia"/>
                <w:kern w:val="0"/>
                <w:szCs w:val="21"/>
              </w:rPr>
              <w:t>国泰中证全指家用电器交易型开放式指数证券投资基金</w:t>
            </w:r>
          </w:p>
        </w:tc>
      </w:tr>
      <w:tr w:rsidR="000948C3" w:rsidRPr="006701FC" w:rsidTr="000948C3">
        <w:trPr>
          <w:trHeight w:val="415"/>
          <w:jc w:val="center"/>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511010</w:t>
            </w:r>
          </w:p>
        </w:tc>
        <w:tc>
          <w:tcPr>
            <w:tcW w:w="5953" w:type="dxa"/>
            <w:tcBorders>
              <w:top w:val="nil"/>
              <w:left w:val="nil"/>
              <w:bottom w:val="single" w:sz="4" w:space="0" w:color="auto"/>
              <w:right w:val="single" w:sz="4" w:space="0" w:color="auto"/>
            </w:tcBorders>
            <w:shd w:val="clear" w:color="auto" w:fill="auto"/>
            <w:vAlign w:val="center"/>
            <w:hideMark/>
          </w:tcPr>
          <w:p w:rsidR="000948C3" w:rsidRPr="000948C3" w:rsidRDefault="000948C3" w:rsidP="00D5066B">
            <w:pPr>
              <w:widowControl/>
              <w:jc w:val="left"/>
              <w:rPr>
                <w:rFonts w:asciiTheme="minorEastAsia" w:hAnsiTheme="minorEastAsia" w:cs="宋体"/>
                <w:kern w:val="0"/>
                <w:szCs w:val="21"/>
              </w:rPr>
            </w:pPr>
            <w:r w:rsidRPr="000948C3">
              <w:rPr>
                <w:rFonts w:asciiTheme="minorEastAsia" w:hAnsiTheme="minorEastAsia" w:cs="宋体" w:hint="eastAsia"/>
                <w:kern w:val="0"/>
                <w:szCs w:val="21"/>
              </w:rPr>
              <w:t>上证5年期国债交易型开放式指数证券投资基金</w:t>
            </w:r>
          </w:p>
        </w:tc>
      </w:tr>
      <w:tr w:rsidR="000948C3" w:rsidRPr="006701FC" w:rsidTr="000948C3">
        <w:trPr>
          <w:trHeight w:val="420"/>
          <w:jc w:val="center"/>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511260</w:t>
            </w:r>
          </w:p>
        </w:tc>
        <w:tc>
          <w:tcPr>
            <w:tcW w:w="5953" w:type="dxa"/>
            <w:tcBorders>
              <w:top w:val="nil"/>
              <w:left w:val="nil"/>
              <w:bottom w:val="single" w:sz="4" w:space="0" w:color="auto"/>
              <w:right w:val="single" w:sz="4" w:space="0" w:color="auto"/>
            </w:tcBorders>
            <w:shd w:val="clear" w:color="auto" w:fill="auto"/>
            <w:vAlign w:val="center"/>
            <w:hideMark/>
          </w:tcPr>
          <w:p w:rsidR="000948C3" w:rsidRPr="000948C3" w:rsidRDefault="000948C3" w:rsidP="00D5066B">
            <w:pPr>
              <w:widowControl/>
              <w:jc w:val="left"/>
              <w:rPr>
                <w:rFonts w:asciiTheme="minorEastAsia" w:hAnsiTheme="minorEastAsia" w:cs="宋体"/>
                <w:kern w:val="0"/>
                <w:szCs w:val="21"/>
              </w:rPr>
            </w:pPr>
            <w:r w:rsidRPr="000948C3">
              <w:rPr>
                <w:rFonts w:asciiTheme="minorEastAsia" w:hAnsiTheme="minorEastAsia" w:cs="宋体" w:hint="eastAsia"/>
                <w:kern w:val="0"/>
                <w:szCs w:val="21"/>
              </w:rPr>
              <w:t>上证10年期国债交易型开放式指数证券投资基金</w:t>
            </w:r>
          </w:p>
        </w:tc>
      </w:tr>
      <w:tr w:rsidR="000948C3" w:rsidRPr="006701FC" w:rsidTr="000948C3">
        <w:trPr>
          <w:trHeight w:val="412"/>
          <w:jc w:val="center"/>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511620</w:t>
            </w:r>
          </w:p>
        </w:tc>
        <w:tc>
          <w:tcPr>
            <w:tcW w:w="5953" w:type="dxa"/>
            <w:tcBorders>
              <w:top w:val="nil"/>
              <w:left w:val="nil"/>
              <w:bottom w:val="single" w:sz="4" w:space="0" w:color="auto"/>
              <w:right w:val="single" w:sz="4" w:space="0" w:color="auto"/>
            </w:tcBorders>
            <w:shd w:val="clear" w:color="auto" w:fill="auto"/>
            <w:vAlign w:val="center"/>
            <w:hideMark/>
          </w:tcPr>
          <w:p w:rsidR="000948C3" w:rsidRPr="000948C3" w:rsidRDefault="000948C3" w:rsidP="00D5066B">
            <w:pPr>
              <w:widowControl/>
              <w:jc w:val="left"/>
              <w:rPr>
                <w:rFonts w:asciiTheme="minorEastAsia" w:hAnsiTheme="minorEastAsia" w:cs="宋体"/>
                <w:kern w:val="0"/>
                <w:szCs w:val="21"/>
              </w:rPr>
            </w:pPr>
            <w:r w:rsidRPr="000948C3">
              <w:rPr>
                <w:rFonts w:asciiTheme="minorEastAsia" w:hAnsiTheme="minorEastAsia" w:cs="宋体" w:hint="eastAsia"/>
                <w:kern w:val="0"/>
                <w:szCs w:val="21"/>
              </w:rPr>
              <w:t>国泰瞬利交易型货币市场基金</w:t>
            </w:r>
          </w:p>
        </w:tc>
      </w:tr>
      <w:tr w:rsidR="000948C3" w:rsidRPr="006701FC" w:rsidTr="000948C3">
        <w:trPr>
          <w:trHeight w:val="421"/>
          <w:jc w:val="center"/>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513100</w:t>
            </w:r>
          </w:p>
        </w:tc>
        <w:tc>
          <w:tcPr>
            <w:tcW w:w="5953" w:type="dxa"/>
            <w:tcBorders>
              <w:top w:val="nil"/>
              <w:left w:val="nil"/>
              <w:bottom w:val="single" w:sz="4" w:space="0" w:color="auto"/>
              <w:right w:val="single" w:sz="4" w:space="0" w:color="auto"/>
            </w:tcBorders>
            <w:shd w:val="clear" w:color="auto" w:fill="auto"/>
            <w:vAlign w:val="center"/>
            <w:hideMark/>
          </w:tcPr>
          <w:p w:rsidR="000948C3" w:rsidRPr="000948C3" w:rsidRDefault="000948C3" w:rsidP="00D5066B">
            <w:pPr>
              <w:widowControl/>
              <w:jc w:val="left"/>
              <w:rPr>
                <w:rFonts w:asciiTheme="minorEastAsia" w:hAnsiTheme="minorEastAsia" w:cs="宋体"/>
                <w:kern w:val="0"/>
                <w:szCs w:val="21"/>
              </w:rPr>
            </w:pPr>
            <w:r w:rsidRPr="000948C3">
              <w:rPr>
                <w:rFonts w:asciiTheme="minorEastAsia" w:hAnsiTheme="minorEastAsia" w:cs="宋体" w:hint="eastAsia"/>
                <w:kern w:val="0"/>
                <w:szCs w:val="21"/>
              </w:rPr>
              <w:t>纳斯达克100交易型开放式指数证券投资基金</w:t>
            </w:r>
          </w:p>
        </w:tc>
      </w:tr>
      <w:tr w:rsidR="000948C3" w:rsidRPr="006701FC" w:rsidTr="000948C3">
        <w:trPr>
          <w:trHeight w:val="412"/>
          <w:jc w:val="center"/>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515210</w:t>
            </w:r>
          </w:p>
        </w:tc>
        <w:tc>
          <w:tcPr>
            <w:tcW w:w="5953" w:type="dxa"/>
            <w:tcBorders>
              <w:top w:val="nil"/>
              <w:left w:val="nil"/>
              <w:bottom w:val="single" w:sz="4" w:space="0" w:color="auto"/>
              <w:right w:val="single" w:sz="4" w:space="0" w:color="auto"/>
            </w:tcBorders>
            <w:shd w:val="clear" w:color="auto" w:fill="auto"/>
            <w:vAlign w:val="center"/>
            <w:hideMark/>
          </w:tcPr>
          <w:p w:rsidR="000948C3" w:rsidRPr="000948C3" w:rsidRDefault="000948C3" w:rsidP="00D5066B">
            <w:pPr>
              <w:widowControl/>
              <w:jc w:val="left"/>
              <w:rPr>
                <w:rFonts w:asciiTheme="minorEastAsia" w:hAnsiTheme="minorEastAsia" w:cs="宋体"/>
                <w:kern w:val="0"/>
                <w:szCs w:val="21"/>
              </w:rPr>
            </w:pPr>
            <w:r w:rsidRPr="000948C3">
              <w:rPr>
                <w:rFonts w:asciiTheme="minorEastAsia" w:hAnsiTheme="minorEastAsia" w:cs="宋体" w:hint="eastAsia"/>
                <w:kern w:val="0"/>
                <w:szCs w:val="21"/>
              </w:rPr>
              <w:t>国泰中证钢铁交易型开放式指数证券投资基金</w:t>
            </w:r>
          </w:p>
        </w:tc>
      </w:tr>
      <w:tr w:rsidR="000948C3" w:rsidRPr="006701FC" w:rsidTr="000948C3">
        <w:trPr>
          <w:trHeight w:val="419"/>
          <w:jc w:val="center"/>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515220</w:t>
            </w:r>
          </w:p>
        </w:tc>
        <w:tc>
          <w:tcPr>
            <w:tcW w:w="5953" w:type="dxa"/>
            <w:tcBorders>
              <w:top w:val="nil"/>
              <w:left w:val="nil"/>
              <w:bottom w:val="single" w:sz="4" w:space="0" w:color="auto"/>
              <w:right w:val="single" w:sz="4" w:space="0" w:color="auto"/>
            </w:tcBorders>
            <w:shd w:val="clear" w:color="auto" w:fill="auto"/>
            <w:vAlign w:val="center"/>
            <w:hideMark/>
          </w:tcPr>
          <w:p w:rsidR="000948C3" w:rsidRPr="000948C3" w:rsidRDefault="000948C3" w:rsidP="00D5066B">
            <w:pPr>
              <w:widowControl/>
              <w:jc w:val="left"/>
              <w:rPr>
                <w:rFonts w:asciiTheme="minorEastAsia" w:hAnsiTheme="minorEastAsia" w:cs="宋体"/>
                <w:kern w:val="0"/>
                <w:szCs w:val="21"/>
              </w:rPr>
            </w:pPr>
            <w:r w:rsidRPr="000948C3">
              <w:rPr>
                <w:rFonts w:asciiTheme="minorEastAsia" w:hAnsiTheme="minorEastAsia" w:cs="宋体" w:hint="eastAsia"/>
                <w:kern w:val="0"/>
                <w:szCs w:val="21"/>
              </w:rPr>
              <w:t>国泰中证煤炭交易型开放式指数证券投资基金</w:t>
            </w:r>
          </w:p>
        </w:tc>
      </w:tr>
      <w:tr w:rsidR="000948C3" w:rsidRPr="006701FC" w:rsidTr="000948C3">
        <w:trPr>
          <w:trHeight w:val="417"/>
          <w:jc w:val="center"/>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518800</w:t>
            </w:r>
          </w:p>
        </w:tc>
        <w:tc>
          <w:tcPr>
            <w:tcW w:w="5953" w:type="dxa"/>
            <w:tcBorders>
              <w:top w:val="nil"/>
              <w:left w:val="nil"/>
              <w:bottom w:val="single" w:sz="4" w:space="0" w:color="auto"/>
              <w:right w:val="single" w:sz="4" w:space="0" w:color="auto"/>
            </w:tcBorders>
            <w:shd w:val="clear" w:color="auto" w:fill="auto"/>
            <w:vAlign w:val="center"/>
            <w:hideMark/>
          </w:tcPr>
          <w:p w:rsidR="000948C3" w:rsidRPr="000948C3" w:rsidRDefault="000948C3" w:rsidP="00D5066B">
            <w:pPr>
              <w:widowControl/>
              <w:jc w:val="left"/>
              <w:rPr>
                <w:rFonts w:asciiTheme="minorEastAsia" w:hAnsiTheme="minorEastAsia" w:cs="宋体"/>
                <w:kern w:val="0"/>
                <w:szCs w:val="21"/>
              </w:rPr>
            </w:pPr>
            <w:r w:rsidRPr="000948C3">
              <w:rPr>
                <w:rFonts w:asciiTheme="minorEastAsia" w:hAnsiTheme="minorEastAsia" w:cs="宋体" w:hint="eastAsia"/>
                <w:kern w:val="0"/>
                <w:szCs w:val="21"/>
              </w:rPr>
              <w:t>国泰黄金交易型开放式证券投资基金</w:t>
            </w:r>
          </w:p>
        </w:tc>
      </w:tr>
    </w:tbl>
    <w:p w:rsidR="00912CC9" w:rsidRPr="006701FC" w:rsidRDefault="000A321D" w:rsidP="000948C3">
      <w:pPr>
        <w:spacing w:line="360" w:lineRule="auto"/>
        <w:ind w:firstLineChars="200" w:firstLine="420"/>
        <w:rPr>
          <w:rFonts w:asciiTheme="minorEastAsia" w:hAnsiTheme="minorEastAsia" w:cs="Times New Roman"/>
          <w:bCs/>
          <w:szCs w:val="21"/>
        </w:rPr>
      </w:pPr>
      <w:r w:rsidRPr="006701FC">
        <w:rPr>
          <w:rFonts w:asciiTheme="minorEastAsia" w:hAnsiTheme="minorEastAsia" w:cs="Times New Roman" w:hint="eastAsia"/>
          <w:bCs/>
          <w:szCs w:val="21"/>
        </w:rPr>
        <w:t>注：</w:t>
      </w:r>
      <w:r w:rsidR="00D307F3" w:rsidRPr="006701FC">
        <w:rPr>
          <w:rFonts w:asciiTheme="minorEastAsia" w:hAnsiTheme="minorEastAsia" w:cs="Times New Roman" w:hint="eastAsia"/>
          <w:bCs/>
          <w:szCs w:val="21"/>
        </w:rPr>
        <w:t>1</w:t>
      </w:r>
      <w:r w:rsidR="00AF51B0" w:rsidRPr="006701FC">
        <w:rPr>
          <w:rFonts w:asciiTheme="minorEastAsia" w:hAnsiTheme="minorEastAsia" w:cs="Times New Roman" w:hint="eastAsia"/>
          <w:bCs/>
          <w:szCs w:val="21"/>
        </w:rPr>
        <w:t>、</w:t>
      </w:r>
      <w:r w:rsidR="0056327E" w:rsidRPr="006701FC">
        <w:rPr>
          <w:rFonts w:asciiTheme="minorEastAsia" w:hAnsiTheme="minorEastAsia" w:cs="Times New Roman" w:hint="eastAsia"/>
          <w:szCs w:val="21"/>
        </w:rPr>
        <w:t>上述表格内基金</w:t>
      </w:r>
      <w:r w:rsidR="001816BC" w:rsidRPr="006701FC">
        <w:rPr>
          <w:rFonts w:asciiTheme="minorEastAsia" w:hAnsiTheme="minorEastAsia" w:cs="Times New Roman" w:hint="eastAsia"/>
          <w:szCs w:val="21"/>
        </w:rPr>
        <w:t>的</w:t>
      </w:r>
      <w:r w:rsidR="00055A37" w:rsidRPr="006701FC">
        <w:rPr>
          <w:rFonts w:asciiTheme="minorEastAsia" w:hAnsiTheme="minorEastAsia" w:cs="Times New Roman" w:hint="eastAsia"/>
          <w:szCs w:val="21"/>
        </w:rPr>
        <w:t>最小申购、赎回单位限制</w:t>
      </w:r>
      <w:r w:rsidR="001816BC" w:rsidRPr="006701FC">
        <w:rPr>
          <w:rFonts w:asciiTheme="minorEastAsia" w:hAnsiTheme="minorEastAsia" w:cs="Times New Roman" w:hint="eastAsia"/>
          <w:szCs w:val="21"/>
        </w:rPr>
        <w:t>请详见本基金管理人发布的</w:t>
      </w:r>
      <w:r w:rsidR="00130D27" w:rsidRPr="006701FC">
        <w:rPr>
          <w:rFonts w:asciiTheme="minorEastAsia" w:hAnsiTheme="minorEastAsia" w:cs="Times New Roman" w:hint="eastAsia"/>
          <w:szCs w:val="21"/>
        </w:rPr>
        <w:t>相关</w:t>
      </w:r>
      <w:r w:rsidR="001816BC" w:rsidRPr="006701FC">
        <w:rPr>
          <w:rFonts w:asciiTheme="minorEastAsia" w:hAnsiTheme="minorEastAsia" w:cs="Times New Roman" w:hint="eastAsia"/>
          <w:szCs w:val="21"/>
        </w:rPr>
        <w:t>业务公告</w:t>
      </w:r>
      <w:r w:rsidR="00992974" w:rsidRPr="006701FC">
        <w:rPr>
          <w:rFonts w:asciiTheme="minorEastAsia" w:hAnsiTheme="minorEastAsia" w:cs="Times New Roman" w:hint="eastAsia"/>
          <w:szCs w:val="21"/>
        </w:rPr>
        <w:t>。</w:t>
      </w:r>
    </w:p>
    <w:p w:rsidR="003F287F" w:rsidRPr="006701FC" w:rsidRDefault="00D307F3" w:rsidP="001120FD">
      <w:pPr>
        <w:spacing w:line="360" w:lineRule="auto"/>
        <w:ind w:firstLine="420"/>
        <w:rPr>
          <w:rFonts w:asciiTheme="minorEastAsia" w:hAnsiTheme="minorEastAsia" w:cs="Times New Roman"/>
          <w:bCs/>
          <w:kern w:val="0"/>
          <w:szCs w:val="21"/>
        </w:rPr>
      </w:pPr>
      <w:r w:rsidRPr="006701FC">
        <w:rPr>
          <w:rFonts w:asciiTheme="minorEastAsia" w:hAnsiTheme="minorEastAsia" w:cs="Times New Roman" w:hint="eastAsia"/>
          <w:color w:val="000000"/>
          <w:kern w:val="0"/>
          <w:szCs w:val="21"/>
        </w:rPr>
        <w:t>2</w:t>
      </w:r>
      <w:r w:rsidR="00AF51B0" w:rsidRPr="006701FC">
        <w:rPr>
          <w:rFonts w:asciiTheme="minorEastAsia" w:hAnsiTheme="minorEastAsia" w:cs="Times New Roman" w:hint="eastAsia"/>
          <w:color w:val="000000"/>
          <w:kern w:val="0"/>
          <w:szCs w:val="21"/>
        </w:rPr>
        <w:t>、</w:t>
      </w:r>
      <w:r w:rsidR="00912CC9" w:rsidRPr="006701FC">
        <w:rPr>
          <w:rFonts w:asciiTheme="minorEastAsia" w:hAnsiTheme="minorEastAsia" w:cs="Times New Roman"/>
          <w:szCs w:val="21"/>
        </w:rPr>
        <w:t>根据</w:t>
      </w:r>
      <w:r w:rsidR="00912CC9" w:rsidRPr="006701FC">
        <w:rPr>
          <w:rFonts w:asciiTheme="minorEastAsia" w:hAnsiTheme="minorEastAsia" w:cs="Times New Roman" w:hint="eastAsia"/>
          <w:color w:val="000000"/>
          <w:kern w:val="0"/>
          <w:szCs w:val="21"/>
        </w:rPr>
        <w:t>上述</w:t>
      </w:r>
      <w:r w:rsidR="00912CC9" w:rsidRPr="006701FC">
        <w:rPr>
          <w:rFonts w:asciiTheme="minorEastAsia" w:hAnsiTheme="minorEastAsia" w:cs="Times New Roman"/>
          <w:szCs w:val="21"/>
        </w:rPr>
        <w:t>基金《基金合同》的约定，投资者应通过具备申购赎回业务资格的一级交易商办理基金的申购和</w:t>
      </w:r>
      <w:r w:rsidR="00912CC9" w:rsidRPr="006701FC">
        <w:rPr>
          <w:rFonts w:asciiTheme="minorEastAsia" w:hAnsiTheme="minorEastAsia" w:cs="Times New Roman" w:hint="eastAsia"/>
          <w:color w:val="000000"/>
          <w:kern w:val="0"/>
          <w:szCs w:val="21"/>
        </w:rPr>
        <w:t>赎回业务。</w:t>
      </w:r>
    </w:p>
    <w:p w:rsidR="005A47EC" w:rsidRPr="006701FC" w:rsidRDefault="005A47EC" w:rsidP="001120FD">
      <w:pPr>
        <w:spacing w:line="360" w:lineRule="auto"/>
        <w:ind w:firstLine="420"/>
        <w:rPr>
          <w:rFonts w:asciiTheme="minorEastAsia" w:hAnsiTheme="minorEastAsia" w:cs="Times New Roman"/>
          <w:bCs/>
          <w:kern w:val="0"/>
          <w:szCs w:val="21"/>
        </w:rPr>
      </w:pPr>
    </w:p>
    <w:p w:rsidR="00CE396B" w:rsidRPr="006701FC" w:rsidRDefault="00D1727D" w:rsidP="001120FD">
      <w:pPr>
        <w:spacing w:line="360" w:lineRule="auto"/>
        <w:ind w:firstLine="420"/>
        <w:rPr>
          <w:rFonts w:asciiTheme="minorEastAsia" w:hAnsiTheme="minorEastAsia" w:cs="Times New Roman"/>
          <w:szCs w:val="21"/>
        </w:rPr>
      </w:pPr>
      <w:r w:rsidRPr="006701FC">
        <w:rPr>
          <w:rFonts w:asciiTheme="minorEastAsia" w:hAnsiTheme="minorEastAsia" w:cs="Times New Roman" w:hint="eastAsia"/>
          <w:szCs w:val="21"/>
        </w:rPr>
        <w:t>二</w:t>
      </w:r>
      <w:r w:rsidR="00CE396B" w:rsidRPr="006701FC">
        <w:rPr>
          <w:rFonts w:asciiTheme="minorEastAsia" w:hAnsiTheme="minorEastAsia" w:cs="Times New Roman" w:hint="eastAsia"/>
          <w:szCs w:val="21"/>
        </w:rPr>
        <w:t>、</w:t>
      </w:r>
      <w:r w:rsidR="00912CC9" w:rsidRPr="006701FC">
        <w:rPr>
          <w:rFonts w:asciiTheme="minorEastAsia" w:hAnsiTheme="minorEastAsia" w:cs="Times New Roman" w:hint="eastAsia"/>
          <w:szCs w:val="21"/>
        </w:rPr>
        <w:t>新增一级交易商的基本信息及联系方式</w:t>
      </w:r>
    </w:p>
    <w:p w:rsidR="002843D5" w:rsidRDefault="002843D5" w:rsidP="001120FD">
      <w:pPr>
        <w:spacing w:line="360" w:lineRule="auto"/>
        <w:ind w:firstLine="420"/>
        <w:rPr>
          <w:rFonts w:asciiTheme="minorEastAsia" w:hAnsiTheme="minorEastAsia"/>
          <w:color w:val="000000" w:themeColor="text1"/>
          <w:szCs w:val="21"/>
        </w:rPr>
      </w:pPr>
      <w:r w:rsidRPr="002843D5">
        <w:rPr>
          <w:rFonts w:asciiTheme="minorEastAsia" w:hAnsiTheme="minorEastAsia" w:hint="eastAsia"/>
          <w:color w:val="000000" w:themeColor="text1"/>
          <w:szCs w:val="21"/>
        </w:rPr>
        <w:t>华创证券有限责任公司</w:t>
      </w:r>
    </w:p>
    <w:p w:rsidR="00D50E3C" w:rsidRPr="006701FC" w:rsidRDefault="00D50E3C" w:rsidP="001120FD">
      <w:pPr>
        <w:spacing w:line="360" w:lineRule="auto"/>
        <w:ind w:firstLine="420"/>
        <w:rPr>
          <w:rFonts w:asciiTheme="minorEastAsia" w:hAnsiTheme="minorEastAsia" w:cs="Times New Roman"/>
          <w:szCs w:val="21"/>
        </w:rPr>
      </w:pPr>
      <w:r w:rsidRPr="006701FC">
        <w:rPr>
          <w:rFonts w:asciiTheme="minorEastAsia" w:hAnsiTheme="minorEastAsia" w:cs="Times New Roman" w:hint="eastAsia"/>
          <w:szCs w:val="21"/>
        </w:rPr>
        <w:t>地址：</w:t>
      </w:r>
      <w:r w:rsidR="002843D5" w:rsidRPr="002843D5">
        <w:rPr>
          <w:rFonts w:asciiTheme="minorEastAsia" w:hAnsiTheme="minorEastAsia" w:hint="eastAsia"/>
          <w:color w:val="000000" w:themeColor="text1"/>
          <w:szCs w:val="21"/>
        </w:rPr>
        <w:t>贵州省贵阳市中华北路216号华创大厦</w:t>
      </w:r>
    </w:p>
    <w:p w:rsidR="00D50E3C" w:rsidRPr="006701FC" w:rsidRDefault="00D50E3C" w:rsidP="001120FD">
      <w:pPr>
        <w:spacing w:line="360" w:lineRule="auto"/>
        <w:ind w:firstLine="420"/>
        <w:rPr>
          <w:rFonts w:asciiTheme="minorEastAsia" w:hAnsiTheme="minorEastAsia" w:cs="Times New Roman"/>
          <w:szCs w:val="21"/>
        </w:rPr>
      </w:pPr>
      <w:r w:rsidRPr="006701FC">
        <w:rPr>
          <w:rFonts w:asciiTheme="minorEastAsia" w:hAnsiTheme="minorEastAsia" w:cs="Times New Roman" w:hint="eastAsia"/>
          <w:szCs w:val="21"/>
        </w:rPr>
        <w:t>客服电话：</w:t>
      </w:r>
      <w:r w:rsidR="002843D5" w:rsidRPr="002843D5">
        <w:rPr>
          <w:rFonts w:asciiTheme="minorEastAsia" w:hAnsiTheme="minorEastAsia"/>
          <w:color w:val="000000" w:themeColor="text1"/>
          <w:szCs w:val="21"/>
        </w:rPr>
        <w:t>4008666689</w:t>
      </w:r>
    </w:p>
    <w:p w:rsidR="00912CC9" w:rsidRPr="006701FC" w:rsidRDefault="00D50E3C" w:rsidP="001120FD">
      <w:pPr>
        <w:spacing w:line="360" w:lineRule="auto"/>
        <w:ind w:firstLine="420"/>
        <w:rPr>
          <w:rFonts w:asciiTheme="minorEastAsia" w:hAnsiTheme="minorEastAsia" w:cs="Times New Roman"/>
          <w:szCs w:val="21"/>
        </w:rPr>
      </w:pPr>
      <w:r w:rsidRPr="006701FC">
        <w:rPr>
          <w:rFonts w:asciiTheme="minorEastAsia" w:hAnsiTheme="minorEastAsia" w:cs="Times New Roman" w:hint="eastAsia"/>
          <w:szCs w:val="21"/>
        </w:rPr>
        <w:t>网址：</w:t>
      </w:r>
      <w:r w:rsidR="002843D5" w:rsidRPr="002843D5">
        <w:rPr>
          <w:rFonts w:asciiTheme="minorEastAsia" w:hAnsiTheme="minorEastAsia"/>
          <w:color w:val="000000" w:themeColor="text1"/>
          <w:szCs w:val="21"/>
        </w:rPr>
        <w:t>www.hczq.com</w:t>
      </w:r>
    </w:p>
    <w:p w:rsidR="005A47EC" w:rsidRPr="006701FC" w:rsidRDefault="005A47EC" w:rsidP="001120FD">
      <w:pPr>
        <w:spacing w:line="360" w:lineRule="auto"/>
        <w:ind w:firstLineChars="200" w:firstLine="420"/>
        <w:rPr>
          <w:rFonts w:asciiTheme="minorEastAsia" w:hAnsiTheme="minorEastAsia" w:cs="Times New Roman"/>
          <w:color w:val="000000"/>
          <w:szCs w:val="21"/>
        </w:rPr>
      </w:pPr>
    </w:p>
    <w:p w:rsidR="00912CC9" w:rsidRPr="006701FC" w:rsidRDefault="00912CC9" w:rsidP="001120FD">
      <w:pPr>
        <w:spacing w:line="360" w:lineRule="auto"/>
        <w:ind w:firstLineChars="200" w:firstLine="420"/>
        <w:rPr>
          <w:rFonts w:asciiTheme="minorEastAsia" w:hAnsiTheme="minorEastAsia" w:cs="Times New Roman"/>
          <w:szCs w:val="21"/>
        </w:rPr>
      </w:pPr>
      <w:r w:rsidRPr="006701FC">
        <w:rPr>
          <w:rFonts w:asciiTheme="minorEastAsia" w:hAnsiTheme="minorEastAsia" w:cs="Times New Roman" w:hint="eastAsia"/>
          <w:color w:val="000000"/>
          <w:szCs w:val="21"/>
        </w:rPr>
        <w:lastRenderedPageBreak/>
        <w:t>三、</w:t>
      </w:r>
      <w:r w:rsidRPr="006701FC">
        <w:rPr>
          <w:rFonts w:asciiTheme="minorEastAsia" w:hAnsiTheme="minorEastAsia" w:cs="Times New Roman" w:hint="eastAsia"/>
          <w:szCs w:val="21"/>
        </w:rPr>
        <w:t>本基金管理人联系方式</w:t>
      </w:r>
    </w:p>
    <w:p w:rsidR="001B448A" w:rsidRPr="006701FC" w:rsidRDefault="001B448A" w:rsidP="001120FD">
      <w:pPr>
        <w:spacing w:line="360" w:lineRule="auto"/>
        <w:ind w:firstLine="420"/>
        <w:rPr>
          <w:rFonts w:asciiTheme="minorEastAsia" w:hAnsiTheme="minorEastAsia" w:cs="Times New Roman"/>
          <w:bCs/>
          <w:kern w:val="0"/>
          <w:szCs w:val="21"/>
        </w:rPr>
      </w:pPr>
      <w:r w:rsidRPr="006701FC">
        <w:rPr>
          <w:rFonts w:asciiTheme="minorEastAsia" w:hAnsiTheme="minorEastAsia" w:cs="Times New Roman" w:hint="eastAsia"/>
          <w:bCs/>
          <w:kern w:val="0"/>
          <w:szCs w:val="21"/>
        </w:rPr>
        <w:t>国泰基金管理有限公司</w:t>
      </w:r>
    </w:p>
    <w:p w:rsidR="001B448A" w:rsidRPr="006701FC" w:rsidRDefault="001B448A" w:rsidP="001120FD">
      <w:pPr>
        <w:spacing w:line="360" w:lineRule="auto"/>
        <w:ind w:firstLine="420"/>
        <w:rPr>
          <w:rFonts w:asciiTheme="minorEastAsia" w:hAnsiTheme="minorEastAsia" w:cs="Times New Roman"/>
          <w:bCs/>
          <w:kern w:val="0"/>
          <w:szCs w:val="21"/>
        </w:rPr>
      </w:pPr>
      <w:r w:rsidRPr="006701FC">
        <w:rPr>
          <w:rFonts w:asciiTheme="minorEastAsia" w:hAnsiTheme="minorEastAsia" w:cs="Times New Roman" w:hint="eastAsia"/>
          <w:bCs/>
          <w:kern w:val="0"/>
          <w:szCs w:val="21"/>
        </w:rPr>
        <w:t>地址</w:t>
      </w:r>
      <w:r w:rsidR="00331D85" w:rsidRPr="006701FC">
        <w:rPr>
          <w:rFonts w:asciiTheme="minorEastAsia" w:hAnsiTheme="minorEastAsia" w:cs="Times New Roman" w:hint="eastAsia"/>
          <w:bCs/>
          <w:kern w:val="0"/>
          <w:szCs w:val="21"/>
        </w:rPr>
        <w:t>：</w:t>
      </w:r>
      <w:r w:rsidRPr="006701FC">
        <w:rPr>
          <w:rFonts w:asciiTheme="minorEastAsia" w:hAnsiTheme="minorEastAsia" w:cs="Times New Roman" w:hint="eastAsia"/>
          <w:bCs/>
          <w:kern w:val="0"/>
          <w:szCs w:val="21"/>
        </w:rPr>
        <w:t>上海市虹口区公平路</w:t>
      </w:r>
      <w:r w:rsidRPr="006701FC">
        <w:rPr>
          <w:rFonts w:asciiTheme="minorEastAsia" w:hAnsiTheme="minorEastAsia" w:cs="Times New Roman"/>
          <w:bCs/>
          <w:kern w:val="0"/>
          <w:szCs w:val="21"/>
        </w:rPr>
        <w:t>18</w:t>
      </w:r>
      <w:r w:rsidRPr="006701FC">
        <w:rPr>
          <w:rFonts w:asciiTheme="minorEastAsia" w:hAnsiTheme="minorEastAsia" w:cs="Times New Roman" w:hint="eastAsia"/>
          <w:bCs/>
          <w:kern w:val="0"/>
          <w:szCs w:val="21"/>
        </w:rPr>
        <w:t>号</w:t>
      </w:r>
      <w:r w:rsidRPr="006701FC">
        <w:rPr>
          <w:rFonts w:asciiTheme="minorEastAsia" w:hAnsiTheme="minorEastAsia" w:cs="Times New Roman"/>
          <w:bCs/>
          <w:kern w:val="0"/>
          <w:szCs w:val="21"/>
        </w:rPr>
        <w:t>8</w:t>
      </w:r>
      <w:r w:rsidRPr="006701FC">
        <w:rPr>
          <w:rFonts w:asciiTheme="minorEastAsia" w:hAnsiTheme="minorEastAsia" w:cs="Times New Roman" w:hint="eastAsia"/>
          <w:bCs/>
          <w:kern w:val="0"/>
          <w:szCs w:val="21"/>
        </w:rPr>
        <w:t>号楼嘉昱大厦</w:t>
      </w:r>
      <w:r w:rsidRPr="006701FC">
        <w:rPr>
          <w:rFonts w:asciiTheme="minorEastAsia" w:hAnsiTheme="minorEastAsia" w:cs="Times New Roman"/>
          <w:bCs/>
          <w:kern w:val="0"/>
          <w:szCs w:val="21"/>
        </w:rPr>
        <w:t>16-19</w:t>
      </w:r>
      <w:r w:rsidRPr="006701FC">
        <w:rPr>
          <w:rFonts w:asciiTheme="minorEastAsia" w:hAnsiTheme="minorEastAsia" w:cs="Times New Roman" w:hint="eastAsia"/>
          <w:bCs/>
          <w:kern w:val="0"/>
          <w:szCs w:val="21"/>
        </w:rPr>
        <w:t>层</w:t>
      </w:r>
    </w:p>
    <w:p w:rsidR="001B448A" w:rsidRPr="006701FC" w:rsidRDefault="001B448A" w:rsidP="001120FD">
      <w:pPr>
        <w:spacing w:line="360" w:lineRule="auto"/>
        <w:ind w:firstLine="420"/>
        <w:rPr>
          <w:rFonts w:asciiTheme="minorEastAsia" w:hAnsiTheme="minorEastAsia" w:cs="Times New Roman"/>
          <w:bCs/>
          <w:kern w:val="0"/>
          <w:szCs w:val="21"/>
        </w:rPr>
      </w:pPr>
      <w:r w:rsidRPr="006701FC">
        <w:rPr>
          <w:rFonts w:asciiTheme="minorEastAsia" w:hAnsiTheme="minorEastAsia" w:cs="Times New Roman" w:hint="eastAsia"/>
          <w:bCs/>
          <w:kern w:val="0"/>
          <w:szCs w:val="21"/>
        </w:rPr>
        <w:t>客服电话：</w:t>
      </w:r>
      <w:r w:rsidRPr="006701FC">
        <w:rPr>
          <w:rFonts w:asciiTheme="minorEastAsia" w:hAnsiTheme="minorEastAsia" w:cs="Times New Roman"/>
          <w:bCs/>
          <w:kern w:val="0"/>
          <w:szCs w:val="21"/>
        </w:rPr>
        <w:t>400-888-8688</w:t>
      </w:r>
    </w:p>
    <w:p w:rsidR="001B448A" w:rsidRPr="006701FC" w:rsidRDefault="001B448A" w:rsidP="001120FD">
      <w:pPr>
        <w:spacing w:line="360" w:lineRule="auto"/>
        <w:ind w:firstLine="420"/>
        <w:rPr>
          <w:rFonts w:asciiTheme="minorEastAsia" w:hAnsiTheme="minorEastAsia" w:cs="Times New Roman"/>
          <w:bCs/>
          <w:kern w:val="0"/>
          <w:szCs w:val="21"/>
        </w:rPr>
      </w:pPr>
      <w:r w:rsidRPr="006701FC">
        <w:rPr>
          <w:rFonts w:asciiTheme="minorEastAsia" w:hAnsiTheme="minorEastAsia" w:cs="Times New Roman" w:hint="eastAsia"/>
          <w:bCs/>
          <w:kern w:val="0"/>
          <w:szCs w:val="21"/>
        </w:rPr>
        <w:t>网址：</w:t>
      </w:r>
      <w:r w:rsidRPr="006701FC">
        <w:rPr>
          <w:rFonts w:asciiTheme="minorEastAsia" w:hAnsiTheme="minorEastAsia" w:cs="Times New Roman"/>
          <w:bCs/>
          <w:kern w:val="0"/>
          <w:szCs w:val="21"/>
        </w:rPr>
        <w:t>www.gtfund.com</w:t>
      </w:r>
    </w:p>
    <w:p w:rsidR="001B448A" w:rsidRPr="006701FC" w:rsidRDefault="001B448A" w:rsidP="001120FD">
      <w:pPr>
        <w:pStyle w:val="Default"/>
        <w:tabs>
          <w:tab w:val="left" w:pos="426"/>
        </w:tabs>
        <w:spacing w:line="360" w:lineRule="auto"/>
        <w:ind w:leftChars="43" w:left="90" w:firstLineChars="207" w:firstLine="435"/>
        <w:jc w:val="both"/>
        <w:rPr>
          <w:rFonts w:asciiTheme="minorEastAsia" w:eastAsiaTheme="minorEastAsia" w:hAnsiTheme="minorEastAsia" w:cs="Times New Roman"/>
          <w:sz w:val="21"/>
          <w:szCs w:val="21"/>
        </w:rPr>
      </w:pPr>
    </w:p>
    <w:p w:rsidR="00232541" w:rsidRPr="006701FC" w:rsidRDefault="00232541" w:rsidP="001120FD">
      <w:pPr>
        <w:spacing w:line="360" w:lineRule="auto"/>
        <w:ind w:firstLine="420"/>
        <w:rPr>
          <w:rFonts w:asciiTheme="minorEastAsia" w:hAnsiTheme="minorEastAsia" w:cs="Times New Roman"/>
          <w:bCs/>
          <w:kern w:val="0"/>
          <w:szCs w:val="21"/>
        </w:rPr>
      </w:pPr>
      <w:r w:rsidRPr="006701FC">
        <w:rPr>
          <w:rFonts w:asciiTheme="minorEastAsia" w:hAnsiTheme="minorEastAsia" w:cs="Times New Roman" w:hint="eastAsia"/>
          <w:bCs/>
          <w:kern w:val="0"/>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w:t>
      </w:r>
      <w:r w:rsidRPr="006701FC">
        <w:rPr>
          <w:rFonts w:asciiTheme="minorEastAsia" w:hAnsiTheme="minorEastAsia" w:cs="Times New Roman"/>
          <w:bCs/>
          <w:kern w:val="0"/>
          <w:szCs w:val="21"/>
        </w:rPr>
        <w:t>了解基金产品的</w:t>
      </w:r>
      <w:r w:rsidRPr="006701FC">
        <w:rPr>
          <w:rFonts w:asciiTheme="minorEastAsia" w:hAnsiTheme="minorEastAsia" w:cs="Times New Roman" w:hint="eastAsia"/>
          <w:bCs/>
          <w:kern w:val="0"/>
          <w:szCs w:val="21"/>
        </w:rPr>
        <w:t>详细</w:t>
      </w:r>
      <w:r w:rsidRPr="006701FC">
        <w:rPr>
          <w:rFonts w:asciiTheme="minorEastAsia" w:hAnsiTheme="minorEastAsia" w:cs="Times New Roman"/>
          <w:bCs/>
          <w:kern w:val="0"/>
          <w:szCs w:val="21"/>
        </w:rPr>
        <w:t>情况，选择与自己风险</w:t>
      </w:r>
      <w:r w:rsidRPr="006701FC">
        <w:rPr>
          <w:rFonts w:asciiTheme="minorEastAsia" w:hAnsiTheme="minorEastAsia" w:cs="Times New Roman" w:hint="eastAsia"/>
          <w:bCs/>
          <w:kern w:val="0"/>
          <w:szCs w:val="21"/>
        </w:rPr>
        <w:t>识别能力和风险承受能力相匹配的基金</w:t>
      </w:r>
      <w:r w:rsidRPr="006701FC">
        <w:rPr>
          <w:rFonts w:asciiTheme="minorEastAsia" w:hAnsiTheme="minorEastAsia" w:cs="Times New Roman"/>
          <w:bCs/>
          <w:kern w:val="0"/>
          <w:szCs w:val="21"/>
        </w:rPr>
        <w:t>，并注意投资风险</w:t>
      </w:r>
      <w:r w:rsidRPr="006701FC">
        <w:rPr>
          <w:rFonts w:asciiTheme="minorEastAsia" w:hAnsiTheme="minorEastAsia" w:cs="Times New Roman" w:hint="eastAsia"/>
          <w:bCs/>
          <w:kern w:val="0"/>
          <w:szCs w:val="21"/>
        </w:rPr>
        <w:t>。</w:t>
      </w:r>
    </w:p>
    <w:p w:rsidR="00CE396B" w:rsidRPr="006701FC" w:rsidRDefault="00CE396B" w:rsidP="001120FD">
      <w:pPr>
        <w:spacing w:line="360" w:lineRule="auto"/>
        <w:ind w:firstLine="420"/>
        <w:rPr>
          <w:rFonts w:asciiTheme="minorEastAsia" w:hAnsiTheme="minorEastAsia" w:cs="Times New Roman"/>
          <w:bCs/>
          <w:kern w:val="0"/>
          <w:szCs w:val="21"/>
        </w:rPr>
      </w:pPr>
      <w:r w:rsidRPr="006701FC">
        <w:rPr>
          <w:rFonts w:asciiTheme="minorEastAsia" w:hAnsiTheme="minorEastAsia" w:cs="Times New Roman" w:hint="eastAsia"/>
          <w:bCs/>
          <w:kern w:val="0"/>
          <w:szCs w:val="21"/>
        </w:rPr>
        <w:t>特此公告。</w:t>
      </w:r>
    </w:p>
    <w:p w:rsidR="00C7569E" w:rsidRPr="006701FC" w:rsidRDefault="00C7569E" w:rsidP="001120FD">
      <w:pPr>
        <w:spacing w:line="360" w:lineRule="auto"/>
        <w:ind w:firstLine="420"/>
        <w:rPr>
          <w:rFonts w:asciiTheme="minorEastAsia" w:hAnsiTheme="minorEastAsia" w:cs="Times New Roman"/>
          <w:bCs/>
          <w:kern w:val="0"/>
          <w:szCs w:val="21"/>
        </w:rPr>
      </w:pPr>
    </w:p>
    <w:p w:rsidR="00C7569E" w:rsidRPr="006701FC" w:rsidRDefault="00C7569E" w:rsidP="001120FD">
      <w:pPr>
        <w:spacing w:line="360" w:lineRule="auto"/>
        <w:ind w:firstLine="420"/>
        <w:rPr>
          <w:rFonts w:asciiTheme="minorEastAsia" w:hAnsiTheme="minorEastAsia" w:cs="Times New Roman"/>
          <w:bCs/>
          <w:kern w:val="0"/>
          <w:szCs w:val="21"/>
        </w:rPr>
      </w:pPr>
    </w:p>
    <w:p w:rsidR="005B0565" w:rsidRPr="006701FC" w:rsidRDefault="00CE396B" w:rsidP="00E47E21">
      <w:pPr>
        <w:pStyle w:val="Default"/>
        <w:tabs>
          <w:tab w:val="left" w:pos="426"/>
        </w:tabs>
        <w:spacing w:line="360" w:lineRule="auto"/>
        <w:ind w:leftChars="43" w:left="90" w:firstLineChars="2907" w:firstLine="6105"/>
        <w:jc w:val="right"/>
        <w:rPr>
          <w:rFonts w:asciiTheme="minorEastAsia" w:eastAsiaTheme="minorEastAsia" w:hAnsiTheme="minorEastAsia" w:cs="Times New Roman"/>
          <w:sz w:val="21"/>
          <w:szCs w:val="21"/>
        </w:rPr>
      </w:pPr>
      <w:r w:rsidRPr="006701FC">
        <w:rPr>
          <w:rFonts w:asciiTheme="minorEastAsia" w:eastAsiaTheme="minorEastAsia" w:hAnsiTheme="minorEastAsia" w:cs="Times New Roman" w:hint="eastAsia"/>
          <w:sz w:val="21"/>
          <w:szCs w:val="21"/>
        </w:rPr>
        <w:t>国泰基金管理有限公司</w:t>
      </w:r>
    </w:p>
    <w:p w:rsidR="000F1CD5" w:rsidRPr="006701FC" w:rsidRDefault="00470010" w:rsidP="00E47E21">
      <w:pPr>
        <w:pStyle w:val="Default"/>
        <w:tabs>
          <w:tab w:val="left" w:pos="426"/>
        </w:tabs>
        <w:spacing w:line="360" w:lineRule="auto"/>
        <w:ind w:leftChars="43" w:left="90" w:firstLineChars="3107" w:firstLine="6525"/>
        <w:jc w:val="right"/>
        <w:rPr>
          <w:rFonts w:asciiTheme="minorEastAsia" w:eastAsiaTheme="minorEastAsia" w:hAnsiTheme="minorEastAsia" w:cs="Times New Roman"/>
          <w:sz w:val="21"/>
          <w:szCs w:val="21"/>
        </w:rPr>
      </w:pPr>
      <w:r w:rsidRPr="006701FC">
        <w:rPr>
          <w:rFonts w:asciiTheme="minorEastAsia" w:eastAsiaTheme="minorEastAsia" w:hAnsiTheme="minorEastAsia" w:cs="Times New Roman"/>
          <w:sz w:val="21"/>
          <w:szCs w:val="21"/>
        </w:rPr>
        <w:t>2020</w:t>
      </w:r>
      <w:r w:rsidR="00D50E3C" w:rsidRPr="006701FC">
        <w:rPr>
          <w:rFonts w:asciiTheme="minorEastAsia" w:eastAsiaTheme="minorEastAsia" w:hAnsiTheme="minorEastAsia" w:cs="Times New Roman" w:hint="eastAsia"/>
          <w:sz w:val="21"/>
          <w:szCs w:val="21"/>
        </w:rPr>
        <w:t>年</w:t>
      </w:r>
      <w:r w:rsidR="000948C3" w:rsidRPr="006701FC">
        <w:rPr>
          <w:rFonts w:asciiTheme="minorEastAsia" w:eastAsiaTheme="minorEastAsia" w:hAnsiTheme="minorEastAsia" w:cs="Times New Roman" w:hint="eastAsia"/>
          <w:sz w:val="21"/>
          <w:szCs w:val="21"/>
        </w:rPr>
        <w:t>8</w:t>
      </w:r>
      <w:r w:rsidR="00D50E3C" w:rsidRPr="006701FC">
        <w:rPr>
          <w:rFonts w:asciiTheme="minorEastAsia" w:eastAsiaTheme="minorEastAsia" w:hAnsiTheme="minorEastAsia" w:cs="Times New Roman" w:hint="eastAsia"/>
          <w:sz w:val="21"/>
          <w:szCs w:val="21"/>
        </w:rPr>
        <w:t>月</w:t>
      </w:r>
      <w:r w:rsidR="002843D5">
        <w:rPr>
          <w:rFonts w:asciiTheme="minorEastAsia" w:eastAsiaTheme="minorEastAsia" w:hAnsiTheme="minorEastAsia" w:cs="Times New Roman" w:hint="eastAsia"/>
          <w:sz w:val="21"/>
          <w:szCs w:val="21"/>
        </w:rPr>
        <w:t>27</w:t>
      </w:r>
      <w:r w:rsidR="008444DD" w:rsidRPr="006701FC">
        <w:rPr>
          <w:rFonts w:asciiTheme="minorEastAsia" w:eastAsiaTheme="minorEastAsia" w:hAnsiTheme="minorEastAsia" w:cs="Times New Roman" w:hint="eastAsia"/>
          <w:sz w:val="21"/>
          <w:szCs w:val="21"/>
        </w:rPr>
        <w:t>日</w:t>
      </w:r>
    </w:p>
    <w:sectPr w:rsidR="000F1CD5" w:rsidRPr="006701FC" w:rsidSect="000617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C6D" w:rsidRDefault="00ED7C6D" w:rsidP="009760CC">
      <w:r>
        <w:separator/>
      </w:r>
    </w:p>
  </w:endnote>
  <w:endnote w:type="continuationSeparator" w:id="0">
    <w:p w:rsidR="00ED7C6D" w:rsidRDefault="00ED7C6D" w:rsidP="00976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C6D" w:rsidRDefault="00ED7C6D" w:rsidP="009760CC">
      <w:r>
        <w:separator/>
      </w:r>
    </w:p>
  </w:footnote>
  <w:footnote w:type="continuationSeparator" w:id="0">
    <w:p w:rsidR="00ED7C6D" w:rsidRDefault="00ED7C6D" w:rsidP="009760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B0074"/>
    <w:multiLevelType w:val="hybridMultilevel"/>
    <w:tmpl w:val="E4AE670C"/>
    <w:lvl w:ilvl="0" w:tplc="AB0A501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56027B1"/>
    <w:multiLevelType w:val="hybridMultilevel"/>
    <w:tmpl w:val="9306E324"/>
    <w:lvl w:ilvl="0" w:tplc="9754F6A2">
      <w:start w:val="1"/>
      <w:numFmt w:val="japaneseCounting"/>
      <w:lvlText w:val="%1、"/>
      <w:lvlJc w:val="left"/>
      <w:pPr>
        <w:ind w:left="842" w:hanging="420"/>
      </w:pPr>
      <w:rPr>
        <w:rFonts w:hint="default"/>
        <w:lang w:val="en-US"/>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54729A23"/>
    <w:multiLevelType w:val="singleLevel"/>
    <w:tmpl w:val="54729A23"/>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40B3"/>
    <w:rsid w:val="00011CCB"/>
    <w:rsid w:val="00020426"/>
    <w:rsid w:val="00031FCE"/>
    <w:rsid w:val="00034496"/>
    <w:rsid w:val="000358EE"/>
    <w:rsid w:val="00055A37"/>
    <w:rsid w:val="00057F7D"/>
    <w:rsid w:val="000617B5"/>
    <w:rsid w:val="00085DC4"/>
    <w:rsid w:val="00093609"/>
    <w:rsid w:val="000948C3"/>
    <w:rsid w:val="000A1E3E"/>
    <w:rsid w:val="000A321D"/>
    <w:rsid w:val="000A374B"/>
    <w:rsid w:val="000A453A"/>
    <w:rsid w:val="000A4557"/>
    <w:rsid w:val="000B17FD"/>
    <w:rsid w:val="000C04DF"/>
    <w:rsid w:val="000D21F9"/>
    <w:rsid w:val="000D6A2E"/>
    <w:rsid w:val="000F1CD5"/>
    <w:rsid w:val="00101ECE"/>
    <w:rsid w:val="001120FD"/>
    <w:rsid w:val="00113E27"/>
    <w:rsid w:val="00126D44"/>
    <w:rsid w:val="00130D27"/>
    <w:rsid w:val="0014045D"/>
    <w:rsid w:val="00143BE1"/>
    <w:rsid w:val="00146176"/>
    <w:rsid w:val="0015491C"/>
    <w:rsid w:val="001554EE"/>
    <w:rsid w:val="00160D99"/>
    <w:rsid w:val="00161926"/>
    <w:rsid w:val="00171C91"/>
    <w:rsid w:val="001816BC"/>
    <w:rsid w:val="001827E8"/>
    <w:rsid w:val="001937A7"/>
    <w:rsid w:val="001A424B"/>
    <w:rsid w:val="001A50CD"/>
    <w:rsid w:val="001A5F14"/>
    <w:rsid w:val="001B1DA3"/>
    <w:rsid w:val="001B448A"/>
    <w:rsid w:val="001B7285"/>
    <w:rsid w:val="001B72FC"/>
    <w:rsid w:val="001B7644"/>
    <w:rsid w:val="001B7BDF"/>
    <w:rsid w:val="001C0738"/>
    <w:rsid w:val="001C744B"/>
    <w:rsid w:val="001C7FE1"/>
    <w:rsid w:val="001D3F41"/>
    <w:rsid w:val="001E06A6"/>
    <w:rsid w:val="001E0FF2"/>
    <w:rsid w:val="001E23B7"/>
    <w:rsid w:val="00222D5C"/>
    <w:rsid w:val="002242E8"/>
    <w:rsid w:val="00224349"/>
    <w:rsid w:val="002253C9"/>
    <w:rsid w:val="002270B2"/>
    <w:rsid w:val="00232541"/>
    <w:rsid w:val="00233F66"/>
    <w:rsid w:val="00241C23"/>
    <w:rsid w:val="00242130"/>
    <w:rsid w:val="00256530"/>
    <w:rsid w:val="00263301"/>
    <w:rsid w:val="00265C7A"/>
    <w:rsid w:val="00276AAC"/>
    <w:rsid w:val="002843D5"/>
    <w:rsid w:val="00286740"/>
    <w:rsid w:val="0029077A"/>
    <w:rsid w:val="002A01EC"/>
    <w:rsid w:val="002A1565"/>
    <w:rsid w:val="002C15D6"/>
    <w:rsid w:val="002C5463"/>
    <w:rsid w:val="002D1704"/>
    <w:rsid w:val="002D38D0"/>
    <w:rsid w:val="002E4094"/>
    <w:rsid w:val="002E67A8"/>
    <w:rsid w:val="00302B1C"/>
    <w:rsid w:val="0030502D"/>
    <w:rsid w:val="00312734"/>
    <w:rsid w:val="003137F3"/>
    <w:rsid w:val="00330A9E"/>
    <w:rsid w:val="00331D85"/>
    <w:rsid w:val="00346667"/>
    <w:rsid w:val="00350D09"/>
    <w:rsid w:val="00372E6B"/>
    <w:rsid w:val="00373360"/>
    <w:rsid w:val="00373D96"/>
    <w:rsid w:val="003A3F31"/>
    <w:rsid w:val="003A74AE"/>
    <w:rsid w:val="003D112C"/>
    <w:rsid w:val="003E60AC"/>
    <w:rsid w:val="003F1C6C"/>
    <w:rsid w:val="003F287F"/>
    <w:rsid w:val="003F39D2"/>
    <w:rsid w:val="003F475B"/>
    <w:rsid w:val="0041382D"/>
    <w:rsid w:val="00415F6E"/>
    <w:rsid w:val="004203BE"/>
    <w:rsid w:val="00427307"/>
    <w:rsid w:val="00431977"/>
    <w:rsid w:val="00463E63"/>
    <w:rsid w:val="00470010"/>
    <w:rsid w:val="004748D3"/>
    <w:rsid w:val="004759E3"/>
    <w:rsid w:val="004760E8"/>
    <w:rsid w:val="00480804"/>
    <w:rsid w:val="004907B5"/>
    <w:rsid w:val="00492672"/>
    <w:rsid w:val="00493184"/>
    <w:rsid w:val="004A7771"/>
    <w:rsid w:val="004C3BCD"/>
    <w:rsid w:val="004C6556"/>
    <w:rsid w:val="004D7691"/>
    <w:rsid w:val="004E38F3"/>
    <w:rsid w:val="004E7737"/>
    <w:rsid w:val="004F7C8F"/>
    <w:rsid w:val="00502895"/>
    <w:rsid w:val="00514698"/>
    <w:rsid w:val="00515BC1"/>
    <w:rsid w:val="0052502E"/>
    <w:rsid w:val="00525FD0"/>
    <w:rsid w:val="00526CC2"/>
    <w:rsid w:val="00536680"/>
    <w:rsid w:val="0055032B"/>
    <w:rsid w:val="0056327E"/>
    <w:rsid w:val="00566FF3"/>
    <w:rsid w:val="00572CDB"/>
    <w:rsid w:val="00580E11"/>
    <w:rsid w:val="00594BBB"/>
    <w:rsid w:val="00596931"/>
    <w:rsid w:val="00596AB3"/>
    <w:rsid w:val="005A47EC"/>
    <w:rsid w:val="005B03D5"/>
    <w:rsid w:val="005B0565"/>
    <w:rsid w:val="005B358B"/>
    <w:rsid w:val="005B6621"/>
    <w:rsid w:val="005C2F17"/>
    <w:rsid w:val="005C42EF"/>
    <w:rsid w:val="005D3287"/>
    <w:rsid w:val="005D7A8A"/>
    <w:rsid w:val="005E7D8E"/>
    <w:rsid w:val="005F0E20"/>
    <w:rsid w:val="006020D6"/>
    <w:rsid w:val="00620140"/>
    <w:rsid w:val="00626242"/>
    <w:rsid w:val="00641701"/>
    <w:rsid w:val="00643A61"/>
    <w:rsid w:val="006512B8"/>
    <w:rsid w:val="00653AC3"/>
    <w:rsid w:val="00662D90"/>
    <w:rsid w:val="006701FC"/>
    <w:rsid w:val="00672057"/>
    <w:rsid w:val="00672E0C"/>
    <w:rsid w:val="0069432D"/>
    <w:rsid w:val="006A069D"/>
    <w:rsid w:val="006B15F0"/>
    <w:rsid w:val="006B7CC1"/>
    <w:rsid w:val="006C39BF"/>
    <w:rsid w:val="006C54F2"/>
    <w:rsid w:val="006E4511"/>
    <w:rsid w:val="006F57B3"/>
    <w:rsid w:val="00702324"/>
    <w:rsid w:val="00716715"/>
    <w:rsid w:val="00717802"/>
    <w:rsid w:val="00720E5D"/>
    <w:rsid w:val="007300ED"/>
    <w:rsid w:val="00730891"/>
    <w:rsid w:val="00743DC7"/>
    <w:rsid w:val="00746EFF"/>
    <w:rsid w:val="007543CC"/>
    <w:rsid w:val="00754FB5"/>
    <w:rsid w:val="00765ECE"/>
    <w:rsid w:val="00771F49"/>
    <w:rsid w:val="00772EB9"/>
    <w:rsid w:val="00796299"/>
    <w:rsid w:val="007A02F1"/>
    <w:rsid w:val="007C4080"/>
    <w:rsid w:val="007C691A"/>
    <w:rsid w:val="007C7CE8"/>
    <w:rsid w:val="007D0578"/>
    <w:rsid w:val="007D48F4"/>
    <w:rsid w:val="007D6BC3"/>
    <w:rsid w:val="007D7283"/>
    <w:rsid w:val="007E284B"/>
    <w:rsid w:val="007E36CD"/>
    <w:rsid w:val="007E5A00"/>
    <w:rsid w:val="007E6355"/>
    <w:rsid w:val="007F3E8B"/>
    <w:rsid w:val="007F40B3"/>
    <w:rsid w:val="007F4340"/>
    <w:rsid w:val="00801CA6"/>
    <w:rsid w:val="00811500"/>
    <w:rsid w:val="00812349"/>
    <w:rsid w:val="00814EF2"/>
    <w:rsid w:val="0083056F"/>
    <w:rsid w:val="008444DD"/>
    <w:rsid w:val="00845D9F"/>
    <w:rsid w:val="008505B1"/>
    <w:rsid w:val="008519AF"/>
    <w:rsid w:val="008558BE"/>
    <w:rsid w:val="008560D5"/>
    <w:rsid w:val="00857D17"/>
    <w:rsid w:val="00877546"/>
    <w:rsid w:val="00882435"/>
    <w:rsid w:val="00886570"/>
    <w:rsid w:val="00896B04"/>
    <w:rsid w:val="008A2692"/>
    <w:rsid w:val="008A464B"/>
    <w:rsid w:val="008B1809"/>
    <w:rsid w:val="008B6280"/>
    <w:rsid w:val="008B645A"/>
    <w:rsid w:val="008C0600"/>
    <w:rsid w:val="008C5111"/>
    <w:rsid w:val="008D2D8B"/>
    <w:rsid w:val="008D3D27"/>
    <w:rsid w:val="00912CC9"/>
    <w:rsid w:val="00913154"/>
    <w:rsid w:val="00916114"/>
    <w:rsid w:val="00916382"/>
    <w:rsid w:val="00921DC2"/>
    <w:rsid w:val="00922627"/>
    <w:rsid w:val="00923EDC"/>
    <w:rsid w:val="00927282"/>
    <w:rsid w:val="0093785C"/>
    <w:rsid w:val="00937B04"/>
    <w:rsid w:val="009449C5"/>
    <w:rsid w:val="009524BB"/>
    <w:rsid w:val="009715AF"/>
    <w:rsid w:val="00972FFA"/>
    <w:rsid w:val="009760CC"/>
    <w:rsid w:val="00976E0D"/>
    <w:rsid w:val="009824B2"/>
    <w:rsid w:val="009864C9"/>
    <w:rsid w:val="0099069C"/>
    <w:rsid w:val="0099226E"/>
    <w:rsid w:val="00992974"/>
    <w:rsid w:val="00994DFA"/>
    <w:rsid w:val="009A0960"/>
    <w:rsid w:val="009A207E"/>
    <w:rsid w:val="009B7CF2"/>
    <w:rsid w:val="009D57E2"/>
    <w:rsid w:val="009E1F12"/>
    <w:rsid w:val="009E7ADD"/>
    <w:rsid w:val="009F091B"/>
    <w:rsid w:val="009F17CA"/>
    <w:rsid w:val="009F3122"/>
    <w:rsid w:val="009F3C4E"/>
    <w:rsid w:val="00A11A42"/>
    <w:rsid w:val="00A172E9"/>
    <w:rsid w:val="00A2384C"/>
    <w:rsid w:val="00A3149E"/>
    <w:rsid w:val="00A43ADE"/>
    <w:rsid w:val="00A461E3"/>
    <w:rsid w:val="00A47EF0"/>
    <w:rsid w:val="00A501C3"/>
    <w:rsid w:val="00A50CF7"/>
    <w:rsid w:val="00A51111"/>
    <w:rsid w:val="00A63B18"/>
    <w:rsid w:val="00A65B8C"/>
    <w:rsid w:val="00A70825"/>
    <w:rsid w:val="00A75ED5"/>
    <w:rsid w:val="00A9217B"/>
    <w:rsid w:val="00AA1167"/>
    <w:rsid w:val="00AC2B19"/>
    <w:rsid w:val="00AC3651"/>
    <w:rsid w:val="00AC4729"/>
    <w:rsid w:val="00AD10A9"/>
    <w:rsid w:val="00AD11B1"/>
    <w:rsid w:val="00AE23EE"/>
    <w:rsid w:val="00AF302C"/>
    <w:rsid w:val="00AF4E09"/>
    <w:rsid w:val="00AF51B0"/>
    <w:rsid w:val="00AF5C6D"/>
    <w:rsid w:val="00AF6898"/>
    <w:rsid w:val="00B00CA2"/>
    <w:rsid w:val="00B037DC"/>
    <w:rsid w:val="00B05318"/>
    <w:rsid w:val="00B06D13"/>
    <w:rsid w:val="00B0729B"/>
    <w:rsid w:val="00B12A87"/>
    <w:rsid w:val="00B15A7F"/>
    <w:rsid w:val="00B1673B"/>
    <w:rsid w:val="00B17343"/>
    <w:rsid w:val="00B21755"/>
    <w:rsid w:val="00B22549"/>
    <w:rsid w:val="00B31DF5"/>
    <w:rsid w:val="00B35242"/>
    <w:rsid w:val="00B52DF0"/>
    <w:rsid w:val="00B540F1"/>
    <w:rsid w:val="00B625E1"/>
    <w:rsid w:val="00B671E3"/>
    <w:rsid w:val="00B71782"/>
    <w:rsid w:val="00B84894"/>
    <w:rsid w:val="00B8560A"/>
    <w:rsid w:val="00B86275"/>
    <w:rsid w:val="00B90779"/>
    <w:rsid w:val="00B92194"/>
    <w:rsid w:val="00B93F40"/>
    <w:rsid w:val="00B96A30"/>
    <w:rsid w:val="00BB1305"/>
    <w:rsid w:val="00BB2A04"/>
    <w:rsid w:val="00BB376E"/>
    <w:rsid w:val="00BB4DA8"/>
    <w:rsid w:val="00BB58F5"/>
    <w:rsid w:val="00BC26BD"/>
    <w:rsid w:val="00BD1539"/>
    <w:rsid w:val="00BD6FDE"/>
    <w:rsid w:val="00BE7EC2"/>
    <w:rsid w:val="00BF5802"/>
    <w:rsid w:val="00C04501"/>
    <w:rsid w:val="00C05717"/>
    <w:rsid w:val="00C1379F"/>
    <w:rsid w:val="00C168CB"/>
    <w:rsid w:val="00C25693"/>
    <w:rsid w:val="00C40BCC"/>
    <w:rsid w:val="00C4277D"/>
    <w:rsid w:val="00C45D1B"/>
    <w:rsid w:val="00C5108C"/>
    <w:rsid w:val="00C5689A"/>
    <w:rsid w:val="00C67E1F"/>
    <w:rsid w:val="00C7569E"/>
    <w:rsid w:val="00C772E3"/>
    <w:rsid w:val="00C87482"/>
    <w:rsid w:val="00C9673F"/>
    <w:rsid w:val="00CB2D14"/>
    <w:rsid w:val="00CB2D2D"/>
    <w:rsid w:val="00CB50FD"/>
    <w:rsid w:val="00CB562B"/>
    <w:rsid w:val="00CB5A54"/>
    <w:rsid w:val="00CC0F17"/>
    <w:rsid w:val="00CC5334"/>
    <w:rsid w:val="00CD0A0B"/>
    <w:rsid w:val="00CD7117"/>
    <w:rsid w:val="00CE396B"/>
    <w:rsid w:val="00CE7AF2"/>
    <w:rsid w:val="00CF215C"/>
    <w:rsid w:val="00CF5549"/>
    <w:rsid w:val="00D05D18"/>
    <w:rsid w:val="00D11187"/>
    <w:rsid w:val="00D11BDA"/>
    <w:rsid w:val="00D15A4A"/>
    <w:rsid w:val="00D1727D"/>
    <w:rsid w:val="00D21093"/>
    <w:rsid w:val="00D307F3"/>
    <w:rsid w:val="00D36FAB"/>
    <w:rsid w:val="00D4603D"/>
    <w:rsid w:val="00D5066B"/>
    <w:rsid w:val="00D50E3C"/>
    <w:rsid w:val="00D66266"/>
    <w:rsid w:val="00D74568"/>
    <w:rsid w:val="00D77826"/>
    <w:rsid w:val="00D80126"/>
    <w:rsid w:val="00D805A4"/>
    <w:rsid w:val="00D85CD0"/>
    <w:rsid w:val="00D91F27"/>
    <w:rsid w:val="00DA15FD"/>
    <w:rsid w:val="00DB0884"/>
    <w:rsid w:val="00DB5082"/>
    <w:rsid w:val="00DB64B9"/>
    <w:rsid w:val="00DB6DA0"/>
    <w:rsid w:val="00DD03F1"/>
    <w:rsid w:val="00DD7530"/>
    <w:rsid w:val="00DE3113"/>
    <w:rsid w:val="00DE4F1B"/>
    <w:rsid w:val="00DF49E8"/>
    <w:rsid w:val="00E25FB6"/>
    <w:rsid w:val="00E3153B"/>
    <w:rsid w:val="00E41440"/>
    <w:rsid w:val="00E45612"/>
    <w:rsid w:val="00E46037"/>
    <w:rsid w:val="00E47E21"/>
    <w:rsid w:val="00E50F01"/>
    <w:rsid w:val="00E54239"/>
    <w:rsid w:val="00E55270"/>
    <w:rsid w:val="00E6452B"/>
    <w:rsid w:val="00E660ED"/>
    <w:rsid w:val="00E72836"/>
    <w:rsid w:val="00E72DD6"/>
    <w:rsid w:val="00E80FDC"/>
    <w:rsid w:val="00EA04DB"/>
    <w:rsid w:val="00EA4855"/>
    <w:rsid w:val="00EA7433"/>
    <w:rsid w:val="00EC6962"/>
    <w:rsid w:val="00ED452E"/>
    <w:rsid w:val="00ED527D"/>
    <w:rsid w:val="00ED7C6D"/>
    <w:rsid w:val="00EE2FEF"/>
    <w:rsid w:val="00EF60FC"/>
    <w:rsid w:val="00EF71E2"/>
    <w:rsid w:val="00F06C2D"/>
    <w:rsid w:val="00F0768E"/>
    <w:rsid w:val="00F133C2"/>
    <w:rsid w:val="00F17EA9"/>
    <w:rsid w:val="00F25A73"/>
    <w:rsid w:val="00F33DE1"/>
    <w:rsid w:val="00F445F6"/>
    <w:rsid w:val="00F44CF3"/>
    <w:rsid w:val="00F51F50"/>
    <w:rsid w:val="00F61F22"/>
    <w:rsid w:val="00F672E5"/>
    <w:rsid w:val="00F673A8"/>
    <w:rsid w:val="00F67DC2"/>
    <w:rsid w:val="00F72A80"/>
    <w:rsid w:val="00F74E13"/>
    <w:rsid w:val="00F7641F"/>
    <w:rsid w:val="00F77FFA"/>
    <w:rsid w:val="00F929BA"/>
    <w:rsid w:val="00FC266D"/>
    <w:rsid w:val="00FC2F13"/>
    <w:rsid w:val="00FF326B"/>
    <w:rsid w:val="00FF3A0A"/>
    <w:rsid w:val="00FF3C3F"/>
    <w:rsid w:val="00FF7B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qFormat/>
    <w:rsid w:val="009524BB"/>
    <w:tblPr>
      <w:tblInd w:w="0" w:type="dxa"/>
      <w:tblCellMar>
        <w:top w:w="0" w:type="dxa"/>
        <w:left w:w="108" w:type="dxa"/>
        <w:bottom w:w="0" w:type="dxa"/>
        <w:right w:w="108" w:type="dxa"/>
      </w:tblCellMar>
    </w:tblPr>
  </w:style>
  <w:style w:type="paragraph" w:customStyle="1" w:styleId="CM1">
    <w:name w:val="CM1"/>
    <w:basedOn w:val="a"/>
    <w:next w:val="a"/>
    <w:uiPriority w:val="99"/>
    <w:rsid w:val="007F40B3"/>
    <w:pPr>
      <w:autoSpaceDE w:val="0"/>
      <w:autoSpaceDN w:val="0"/>
      <w:adjustRightInd w:val="0"/>
      <w:spacing w:line="468" w:lineRule="atLeast"/>
      <w:jc w:val="left"/>
    </w:pPr>
    <w:rPr>
      <w:rFonts w:ascii="宋体" w:eastAsia="宋体"/>
      <w:kern w:val="0"/>
      <w:sz w:val="24"/>
      <w:szCs w:val="24"/>
    </w:rPr>
  </w:style>
  <w:style w:type="paragraph" w:customStyle="1" w:styleId="CM12">
    <w:name w:val="CM12"/>
    <w:basedOn w:val="a"/>
    <w:next w:val="a"/>
    <w:uiPriority w:val="99"/>
    <w:rsid w:val="007F40B3"/>
    <w:pPr>
      <w:autoSpaceDE w:val="0"/>
      <w:autoSpaceDN w:val="0"/>
      <w:adjustRightInd w:val="0"/>
      <w:jc w:val="left"/>
    </w:pPr>
    <w:rPr>
      <w:rFonts w:ascii="宋体" w:eastAsia="宋体"/>
      <w:kern w:val="0"/>
      <w:sz w:val="24"/>
      <w:szCs w:val="24"/>
    </w:rPr>
  </w:style>
  <w:style w:type="paragraph" w:customStyle="1" w:styleId="Default">
    <w:name w:val="Default"/>
    <w:rsid w:val="007F40B3"/>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976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60CC"/>
    <w:rPr>
      <w:sz w:val="18"/>
      <w:szCs w:val="18"/>
    </w:rPr>
  </w:style>
  <w:style w:type="paragraph" w:styleId="a4">
    <w:name w:val="footer"/>
    <w:basedOn w:val="a"/>
    <w:link w:val="Char0"/>
    <w:uiPriority w:val="99"/>
    <w:unhideWhenUsed/>
    <w:rsid w:val="009760CC"/>
    <w:pPr>
      <w:tabs>
        <w:tab w:val="center" w:pos="4153"/>
        <w:tab w:val="right" w:pos="8306"/>
      </w:tabs>
      <w:snapToGrid w:val="0"/>
      <w:jc w:val="left"/>
    </w:pPr>
    <w:rPr>
      <w:sz w:val="18"/>
      <w:szCs w:val="18"/>
    </w:rPr>
  </w:style>
  <w:style w:type="character" w:customStyle="1" w:styleId="Char0">
    <w:name w:val="页脚 Char"/>
    <w:basedOn w:val="a0"/>
    <w:link w:val="a4"/>
    <w:uiPriority w:val="99"/>
    <w:rsid w:val="009760CC"/>
    <w:rPr>
      <w:sz w:val="18"/>
      <w:szCs w:val="18"/>
    </w:rPr>
  </w:style>
  <w:style w:type="character" w:styleId="a5">
    <w:name w:val="Hyperlink"/>
    <w:basedOn w:val="a0"/>
    <w:uiPriority w:val="99"/>
    <w:unhideWhenUsed/>
    <w:rsid w:val="00AA1167"/>
    <w:rPr>
      <w:color w:val="0000FF" w:themeColor="hyperlink"/>
      <w:u w:val="single"/>
    </w:rPr>
  </w:style>
  <w:style w:type="character" w:styleId="a6">
    <w:name w:val="annotation reference"/>
    <w:basedOn w:val="a0"/>
    <w:uiPriority w:val="99"/>
    <w:semiHidden/>
    <w:unhideWhenUsed/>
    <w:rsid w:val="00F33DE1"/>
    <w:rPr>
      <w:sz w:val="21"/>
      <w:szCs w:val="21"/>
    </w:rPr>
  </w:style>
  <w:style w:type="paragraph" w:styleId="a7">
    <w:name w:val="annotation text"/>
    <w:basedOn w:val="a"/>
    <w:link w:val="Char1"/>
    <w:uiPriority w:val="99"/>
    <w:semiHidden/>
    <w:unhideWhenUsed/>
    <w:rsid w:val="00F33DE1"/>
    <w:pPr>
      <w:jc w:val="left"/>
    </w:pPr>
  </w:style>
  <w:style w:type="character" w:customStyle="1" w:styleId="Char1">
    <w:name w:val="批注文字 Char"/>
    <w:basedOn w:val="a0"/>
    <w:link w:val="a7"/>
    <w:uiPriority w:val="99"/>
    <w:semiHidden/>
    <w:rsid w:val="00F33DE1"/>
  </w:style>
  <w:style w:type="paragraph" w:styleId="a8">
    <w:name w:val="annotation subject"/>
    <w:basedOn w:val="a7"/>
    <w:next w:val="a7"/>
    <w:link w:val="Char2"/>
    <w:uiPriority w:val="99"/>
    <w:semiHidden/>
    <w:unhideWhenUsed/>
    <w:rsid w:val="00F33DE1"/>
    <w:rPr>
      <w:b/>
      <w:bCs/>
    </w:rPr>
  </w:style>
  <w:style w:type="character" w:customStyle="1" w:styleId="Char2">
    <w:name w:val="批注主题 Char"/>
    <w:basedOn w:val="Char1"/>
    <w:link w:val="a8"/>
    <w:uiPriority w:val="99"/>
    <w:semiHidden/>
    <w:rsid w:val="00F33DE1"/>
    <w:rPr>
      <w:b/>
      <w:bCs/>
    </w:rPr>
  </w:style>
  <w:style w:type="paragraph" w:styleId="a9">
    <w:name w:val="Balloon Text"/>
    <w:basedOn w:val="a"/>
    <w:link w:val="Char3"/>
    <w:uiPriority w:val="99"/>
    <w:semiHidden/>
    <w:unhideWhenUsed/>
    <w:rsid w:val="00F33DE1"/>
    <w:rPr>
      <w:sz w:val="18"/>
      <w:szCs w:val="18"/>
    </w:rPr>
  </w:style>
  <w:style w:type="character" w:customStyle="1" w:styleId="Char3">
    <w:name w:val="批注框文本 Char"/>
    <w:basedOn w:val="a0"/>
    <w:link w:val="a9"/>
    <w:uiPriority w:val="99"/>
    <w:semiHidden/>
    <w:rsid w:val="00F33DE1"/>
    <w:rPr>
      <w:sz w:val="18"/>
      <w:szCs w:val="18"/>
    </w:rPr>
  </w:style>
  <w:style w:type="paragraph" w:styleId="aa">
    <w:name w:val="Plain Text"/>
    <w:basedOn w:val="a"/>
    <w:link w:val="Char4"/>
    <w:uiPriority w:val="99"/>
    <w:semiHidden/>
    <w:unhideWhenUsed/>
    <w:rsid w:val="009F091B"/>
    <w:pPr>
      <w:jc w:val="left"/>
    </w:pPr>
    <w:rPr>
      <w:rFonts w:ascii="Calibri" w:eastAsia="宋体" w:hAnsi="Courier New" w:cs="Courier New"/>
      <w:szCs w:val="21"/>
    </w:rPr>
  </w:style>
  <w:style w:type="character" w:customStyle="1" w:styleId="Char4">
    <w:name w:val="纯文本 Char"/>
    <w:basedOn w:val="a0"/>
    <w:link w:val="aa"/>
    <w:uiPriority w:val="99"/>
    <w:semiHidden/>
    <w:rsid w:val="009F091B"/>
    <w:rPr>
      <w:rFonts w:ascii="Calibri" w:eastAsia="宋体" w:hAnsi="Courier New" w:cs="Courier New"/>
      <w:szCs w:val="21"/>
    </w:rPr>
  </w:style>
  <w:style w:type="paragraph" w:styleId="ab">
    <w:name w:val="List Paragraph"/>
    <w:basedOn w:val="a"/>
    <w:uiPriority w:val="34"/>
    <w:qFormat/>
    <w:rsid w:val="00B52DF0"/>
    <w:pPr>
      <w:ind w:firstLineChars="200" w:firstLine="420"/>
    </w:pPr>
  </w:style>
  <w:style w:type="paragraph" w:styleId="ac">
    <w:name w:val="Revision"/>
    <w:hidden/>
    <w:uiPriority w:val="99"/>
    <w:semiHidden/>
    <w:rsid w:val="00130D27"/>
  </w:style>
</w:styles>
</file>

<file path=word/webSettings.xml><?xml version="1.0" encoding="utf-8"?>
<w:webSettings xmlns:r="http://schemas.openxmlformats.org/officeDocument/2006/relationships" xmlns:w="http://schemas.openxmlformats.org/wordprocessingml/2006/main">
  <w:divs>
    <w:div w:id="64426386">
      <w:bodyDiv w:val="1"/>
      <w:marLeft w:val="0"/>
      <w:marRight w:val="0"/>
      <w:marTop w:val="0"/>
      <w:marBottom w:val="0"/>
      <w:divBdr>
        <w:top w:val="none" w:sz="0" w:space="0" w:color="auto"/>
        <w:left w:val="none" w:sz="0" w:space="0" w:color="auto"/>
        <w:bottom w:val="none" w:sz="0" w:space="0" w:color="auto"/>
        <w:right w:val="none" w:sz="0" w:space="0" w:color="auto"/>
      </w:divBdr>
    </w:div>
    <w:div w:id="77796795">
      <w:bodyDiv w:val="1"/>
      <w:marLeft w:val="0"/>
      <w:marRight w:val="0"/>
      <w:marTop w:val="0"/>
      <w:marBottom w:val="0"/>
      <w:divBdr>
        <w:top w:val="none" w:sz="0" w:space="0" w:color="auto"/>
        <w:left w:val="none" w:sz="0" w:space="0" w:color="auto"/>
        <w:bottom w:val="none" w:sz="0" w:space="0" w:color="auto"/>
        <w:right w:val="none" w:sz="0" w:space="0" w:color="auto"/>
      </w:divBdr>
    </w:div>
    <w:div w:id="277759715">
      <w:bodyDiv w:val="1"/>
      <w:marLeft w:val="0"/>
      <w:marRight w:val="0"/>
      <w:marTop w:val="0"/>
      <w:marBottom w:val="0"/>
      <w:divBdr>
        <w:top w:val="none" w:sz="0" w:space="0" w:color="auto"/>
        <w:left w:val="none" w:sz="0" w:space="0" w:color="auto"/>
        <w:bottom w:val="none" w:sz="0" w:space="0" w:color="auto"/>
        <w:right w:val="none" w:sz="0" w:space="0" w:color="auto"/>
      </w:divBdr>
    </w:div>
    <w:div w:id="357319671">
      <w:bodyDiv w:val="1"/>
      <w:marLeft w:val="0"/>
      <w:marRight w:val="0"/>
      <w:marTop w:val="0"/>
      <w:marBottom w:val="0"/>
      <w:divBdr>
        <w:top w:val="none" w:sz="0" w:space="0" w:color="auto"/>
        <w:left w:val="none" w:sz="0" w:space="0" w:color="auto"/>
        <w:bottom w:val="none" w:sz="0" w:space="0" w:color="auto"/>
        <w:right w:val="none" w:sz="0" w:space="0" w:color="auto"/>
      </w:divBdr>
    </w:div>
    <w:div w:id="448857812">
      <w:bodyDiv w:val="1"/>
      <w:marLeft w:val="0"/>
      <w:marRight w:val="0"/>
      <w:marTop w:val="0"/>
      <w:marBottom w:val="0"/>
      <w:divBdr>
        <w:top w:val="none" w:sz="0" w:space="0" w:color="auto"/>
        <w:left w:val="none" w:sz="0" w:space="0" w:color="auto"/>
        <w:bottom w:val="none" w:sz="0" w:space="0" w:color="auto"/>
        <w:right w:val="none" w:sz="0" w:space="0" w:color="auto"/>
      </w:divBdr>
    </w:div>
    <w:div w:id="461115952">
      <w:bodyDiv w:val="1"/>
      <w:marLeft w:val="0"/>
      <w:marRight w:val="0"/>
      <w:marTop w:val="0"/>
      <w:marBottom w:val="0"/>
      <w:divBdr>
        <w:top w:val="none" w:sz="0" w:space="0" w:color="auto"/>
        <w:left w:val="none" w:sz="0" w:space="0" w:color="auto"/>
        <w:bottom w:val="none" w:sz="0" w:space="0" w:color="auto"/>
        <w:right w:val="none" w:sz="0" w:space="0" w:color="auto"/>
      </w:divBdr>
    </w:div>
    <w:div w:id="492985600">
      <w:bodyDiv w:val="1"/>
      <w:marLeft w:val="0"/>
      <w:marRight w:val="0"/>
      <w:marTop w:val="0"/>
      <w:marBottom w:val="0"/>
      <w:divBdr>
        <w:top w:val="none" w:sz="0" w:space="0" w:color="auto"/>
        <w:left w:val="none" w:sz="0" w:space="0" w:color="auto"/>
        <w:bottom w:val="none" w:sz="0" w:space="0" w:color="auto"/>
        <w:right w:val="none" w:sz="0" w:space="0" w:color="auto"/>
      </w:divBdr>
    </w:div>
    <w:div w:id="602567464">
      <w:bodyDiv w:val="1"/>
      <w:marLeft w:val="0"/>
      <w:marRight w:val="0"/>
      <w:marTop w:val="0"/>
      <w:marBottom w:val="0"/>
      <w:divBdr>
        <w:top w:val="none" w:sz="0" w:space="0" w:color="auto"/>
        <w:left w:val="none" w:sz="0" w:space="0" w:color="auto"/>
        <w:bottom w:val="none" w:sz="0" w:space="0" w:color="auto"/>
        <w:right w:val="none" w:sz="0" w:space="0" w:color="auto"/>
      </w:divBdr>
    </w:div>
    <w:div w:id="611017225">
      <w:bodyDiv w:val="1"/>
      <w:marLeft w:val="0"/>
      <w:marRight w:val="0"/>
      <w:marTop w:val="0"/>
      <w:marBottom w:val="0"/>
      <w:divBdr>
        <w:top w:val="none" w:sz="0" w:space="0" w:color="auto"/>
        <w:left w:val="none" w:sz="0" w:space="0" w:color="auto"/>
        <w:bottom w:val="none" w:sz="0" w:space="0" w:color="auto"/>
        <w:right w:val="none" w:sz="0" w:space="0" w:color="auto"/>
      </w:divBdr>
    </w:div>
    <w:div w:id="616058828">
      <w:bodyDiv w:val="1"/>
      <w:marLeft w:val="0"/>
      <w:marRight w:val="0"/>
      <w:marTop w:val="0"/>
      <w:marBottom w:val="0"/>
      <w:divBdr>
        <w:top w:val="none" w:sz="0" w:space="0" w:color="auto"/>
        <w:left w:val="none" w:sz="0" w:space="0" w:color="auto"/>
        <w:bottom w:val="none" w:sz="0" w:space="0" w:color="auto"/>
        <w:right w:val="none" w:sz="0" w:space="0" w:color="auto"/>
      </w:divBdr>
    </w:div>
    <w:div w:id="728110839">
      <w:bodyDiv w:val="1"/>
      <w:marLeft w:val="0"/>
      <w:marRight w:val="0"/>
      <w:marTop w:val="0"/>
      <w:marBottom w:val="0"/>
      <w:divBdr>
        <w:top w:val="none" w:sz="0" w:space="0" w:color="auto"/>
        <w:left w:val="none" w:sz="0" w:space="0" w:color="auto"/>
        <w:bottom w:val="none" w:sz="0" w:space="0" w:color="auto"/>
        <w:right w:val="none" w:sz="0" w:space="0" w:color="auto"/>
      </w:divBdr>
    </w:div>
    <w:div w:id="774592083">
      <w:bodyDiv w:val="1"/>
      <w:marLeft w:val="0"/>
      <w:marRight w:val="0"/>
      <w:marTop w:val="0"/>
      <w:marBottom w:val="0"/>
      <w:divBdr>
        <w:top w:val="none" w:sz="0" w:space="0" w:color="auto"/>
        <w:left w:val="none" w:sz="0" w:space="0" w:color="auto"/>
        <w:bottom w:val="none" w:sz="0" w:space="0" w:color="auto"/>
        <w:right w:val="none" w:sz="0" w:space="0" w:color="auto"/>
      </w:divBdr>
    </w:div>
    <w:div w:id="953556504">
      <w:bodyDiv w:val="1"/>
      <w:marLeft w:val="0"/>
      <w:marRight w:val="0"/>
      <w:marTop w:val="0"/>
      <w:marBottom w:val="0"/>
      <w:divBdr>
        <w:top w:val="none" w:sz="0" w:space="0" w:color="auto"/>
        <w:left w:val="none" w:sz="0" w:space="0" w:color="auto"/>
        <w:bottom w:val="none" w:sz="0" w:space="0" w:color="auto"/>
        <w:right w:val="none" w:sz="0" w:space="0" w:color="auto"/>
      </w:divBdr>
    </w:div>
    <w:div w:id="1185286131">
      <w:bodyDiv w:val="1"/>
      <w:marLeft w:val="0"/>
      <w:marRight w:val="0"/>
      <w:marTop w:val="0"/>
      <w:marBottom w:val="0"/>
      <w:divBdr>
        <w:top w:val="none" w:sz="0" w:space="0" w:color="auto"/>
        <w:left w:val="none" w:sz="0" w:space="0" w:color="auto"/>
        <w:bottom w:val="none" w:sz="0" w:space="0" w:color="auto"/>
        <w:right w:val="none" w:sz="0" w:space="0" w:color="auto"/>
      </w:divBdr>
    </w:div>
    <w:div w:id="1189567543">
      <w:bodyDiv w:val="1"/>
      <w:marLeft w:val="0"/>
      <w:marRight w:val="0"/>
      <w:marTop w:val="0"/>
      <w:marBottom w:val="0"/>
      <w:divBdr>
        <w:top w:val="none" w:sz="0" w:space="0" w:color="auto"/>
        <w:left w:val="none" w:sz="0" w:space="0" w:color="auto"/>
        <w:bottom w:val="none" w:sz="0" w:space="0" w:color="auto"/>
        <w:right w:val="none" w:sz="0" w:space="0" w:color="auto"/>
      </w:divBdr>
    </w:div>
    <w:div w:id="1757942195">
      <w:bodyDiv w:val="1"/>
      <w:marLeft w:val="0"/>
      <w:marRight w:val="0"/>
      <w:marTop w:val="0"/>
      <w:marBottom w:val="0"/>
      <w:divBdr>
        <w:top w:val="none" w:sz="0" w:space="0" w:color="auto"/>
        <w:left w:val="none" w:sz="0" w:space="0" w:color="auto"/>
        <w:bottom w:val="none" w:sz="0" w:space="0" w:color="auto"/>
        <w:right w:val="none" w:sz="0" w:space="0" w:color="auto"/>
      </w:divBdr>
    </w:div>
    <w:div w:id="1898778324">
      <w:bodyDiv w:val="1"/>
      <w:marLeft w:val="0"/>
      <w:marRight w:val="0"/>
      <w:marTop w:val="0"/>
      <w:marBottom w:val="0"/>
      <w:divBdr>
        <w:top w:val="none" w:sz="0" w:space="0" w:color="auto"/>
        <w:left w:val="none" w:sz="0" w:space="0" w:color="auto"/>
        <w:bottom w:val="none" w:sz="0" w:space="0" w:color="auto"/>
        <w:right w:val="none" w:sz="0" w:space="0" w:color="auto"/>
      </w:divBdr>
    </w:div>
    <w:div w:id="2025128691">
      <w:bodyDiv w:val="1"/>
      <w:marLeft w:val="0"/>
      <w:marRight w:val="0"/>
      <w:marTop w:val="0"/>
      <w:marBottom w:val="0"/>
      <w:divBdr>
        <w:top w:val="none" w:sz="0" w:space="0" w:color="auto"/>
        <w:left w:val="none" w:sz="0" w:space="0" w:color="auto"/>
        <w:bottom w:val="none" w:sz="0" w:space="0" w:color="auto"/>
        <w:right w:val="none" w:sz="0" w:space="0" w:color="auto"/>
      </w:divBdr>
    </w:div>
    <w:div w:id="2039812231">
      <w:bodyDiv w:val="1"/>
      <w:marLeft w:val="0"/>
      <w:marRight w:val="0"/>
      <w:marTop w:val="0"/>
      <w:marBottom w:val="0"/>
      <w:divBdr>
        <w:top w:val="none" w:sz="0" w:space="0" w:color="auto"/>
        <w:left w:val="none" w:sz="0" w:space="0" w:color="auto"/>
        <w:bottom w:val="none" w:sz="0" w:space="0" w:color="auto"/>
        <w:right w:val="none" w:sz="0" w:space="0" w:color="auto"/>
      </w:divBdr>
    </w:div>
    <w:div w:id="209161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47435-99AC-4FF4-B60E-3694E698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775</Characters>
  <Application>Microsoft Office Word</Application>
  <DocSecurity>4</DocSecurity>
  <Lines>6</Lines>
  <Paragraphs>1</Paragraphs>
  <ScaleCrop>false</ScaleCrop>
  <Company>Lenovo</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林通:返回发起人</dc:creator>
  <cp:lastModifiedBy>ZHONGM</cp:lastModifiedBy>
  <cp:revision>2</cp:revision>
  <dcterms:created xsi:type="dcterms:W3CDTF">2020-08-26T16:02:00Z</dcterms:created>
  <dcterms:modified xsi:type="dcterms:W3CDTF">2020-08-26T16:02:00Z</dcterms:modified>
</cp:coreProperties>
</file>