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B7" w:rsidRDefault="006D4FB7">
      <w:pPr>
        <w:spacing w:line="360" w:lineRule="auto"/>
        <w:jc w:val="center"/>
        <w:rPr>
          <w:rFonts w:ascii="宋体" w:hAnsi="宋体"/>
          <w:b/>
          <w:color w:val="000000"/>
          <w:sz w:val="28"/>
          <w:szCs w:val="28"/>
        </w:rPr>
      </w:pPr>
      <w:r>
        <w:rPr>
          <w:rFonts w:ascii="宋体" w:hAnsi="宋体" w:hint="eastAsia"/>
          <w:b/>
          <w:color w:val="000000"/>
          <w:sz w:val="28"/>
          <w:szCs w:val="28"/>
        </w:rPr>
        <w:t>易方达基金管理有限公司旗下部分开放式基金增加</w:t>
      </w:r>
      <w:r w:rsidR="00D734EB">
        <w:rPr>
          <w:rFonts w:ascii="宋体" w:hAnsi="宋体" w:hint="eastAsia"/>
          <w:b/>
          <w:color w:val="000000"/>
          <w:sz w:val="28"/>
          <w:szCs w:val="28"/>
        </w:rPr>
        <w:t>中国人寿</w:t>
      </w:r>
      <w:r>
        <w:rPr>
          <w:rFonts w:ascii="宋体" w:hAnsi="宋体" w:hint="eastAsia"/>
          <w:b/>
          <w:color w:val="000000"/>
          <w:sz w:val="28"/>
          <w:szCs w:val="28"/>
        </w:rPr>
        <w:t>为销售机构</w:t>
      </w:r>
      <w:r w:rsidR="00A374DE" w:rsidRPr="00CE2704">
        <w:rPr>
          <w:rFonts w:ascii="宋体" w:hAnsi="宋体" w:hint="eastAsia"/>
          <w:b/>
          <w:color w:val="000000"/>
          <w:sz w:val="28"/>
          <w:szCs w:val="28"/>
        </w:rPr>
        <w:t>、参加</w:t>
      </w:r>
      <w:r w:rsidR="00D734EB">
        <w:rPr>
          <w:rFonts w:ascii="宋体" w:hAnsi="宋体" w:hint="eastAsia"/>
          <w:b/>
          <w:color w:val="000000"/>
          <w:sz w:val="28"/>
          <w:szCs w:val="28"/>
        </w:rPr>
        <w:t>中国人寿</w:t>
      </w:r>
      <w:r w:rsidR="00A374DE" w:rsidRPr="00CE2704">
        <w:rPr>
          <w:rFonts w:ascii="宋体" w:hAnsi="宋体" w:hint="eastAsia"/>
          <w:b/>
          <w:color w:val="000000"/>
          <w:sz w:val="28"/>
          <w:szCs w:val="28"/>
        </w:rPr>
        <w:t>费率优惠活动</w:t>
      </w:r>
      <w:r>
        <w:rPr>
          <w:rFonts w:ascii="宋体" w:hAnsi="宋体" w:hint="eastAsia"/>
          <w:b/>
          <w:color w:val="000000"/>
          <w:sz w:val="28"/>
          <w:szCs w:val="28"/>
        </w:rPr>
        <w:t>的公告</w:t>
      </w:r>
    </w:p>
    <w:p w:rsidR="006D4FB7" w:rsidRPr="00A2111E" w:rsidRDefault="006D4FB7">
      <w:pPr>
        <w:spacing w:line="360" w:lineRule="auto"/>
        <w:ind w:firstLineChars="200" w:firstLine="420"/>
        <w:jc w:val="left"/>
        <w:rPr>
          <w:rStyle w:val="HTML2"/>
          <w:rFonts w:cs="Arial Unicode MS"/>
          <w:sz w:val="21"/>
          <w:szCs w:val="21"/>
        </w:rPr>
      </w:pPr>
      <w:r w:rsidRPr="00A2111E">
        <w:rPr>
          <w:rStyle w:val="HTML2"/>
          <w:rFonts w:cs="Arial Unicode MS"/>
          <w:sz w:val="21"/>
          <w:szCs w:val="21"/>
        </w:rPr>
        <w:t>根据易方达基金管理有限公司（以下简称“本公司”）与</w:t>
      </w:r>
      <w:r w:rsidR="00D734EB" w:rsidRPr="00A2111E">
        <w:rPr>
          <w:rStyle w:val="HTML2"/>
          <w:rFonts w:cs="Arial Unicode MS"/>
          <w:sz w:val="21"/>
          <w:szCs w:val="21"/>
        </w:rPr>
        <w:t>中国人寿保险股份有限公司</w:t>
      </w:r>
      <w:r w:rsidRPr="00A2111E">
        <w:rPr>
          <w:rFonts w:ascii="宋体" w:hAnsi="宋体" w:hint="eastAsia"/>
          <w:szCs w:val="21"/>
        </w:rPr>
        <w:t>（</w:t>
      </w:r>
      <w:r w:rsidRPr="00A2111E">
        <w:rPr>
          <w:rStyle w:val="HTML2"/>
          <w:rFonts w:cs="Arial Unicode MS" w:hint="eastAsia"/>
          <w:sz w:val="21"/>
          <w:szCs w:val="21"/>
        </w:rPr>
        <w:t>以下简称“</w:t>
      </w:r>
      <w:r w:rsidR="00D734EB" w:rsidRPr="00A2111E">
        <w:rPr>
          <w:rStyle w:val="HTML2"/>
          <w:rFonts w:cs="Arial Unicode MS" w:hint="eastAsia"/>
          <w:sz w:val="21"/>
          <w:szCs w:val="21"/>
        </w:rPr>
        <w:t>中国人寿</w:t>
      </w:r>
      <w:r w:rsidRPr="00A2111E">
        <w:rPr>
          <w:rStyle w:val="HTML2"/>
          <w:rFonts w:cs="Arial Unicode MS" w:hint="eastAsia"/>
          <w:sz w:val="21"/>
          <w:szCs w:val="21"/>
        </w:rPr>
        <w:t>”）</w:t>
      </w:r>
      <w:r w:rsidRPr="00A2111E">
        <w:rPr>
          <w:rStyle w:val="HTML2"/>
          <w:rFonts w:cs="Arial Unicode MS"/>
          <w:sz w:val="21"/>
          <w:szCs w:val="21"/>
        </w:rPr>
        <w:t>签署的</w:t>
      </w:r>
      <w:r w:rsidRPr="00A2111E">
        <w:rPr>
          <w:rStyle w:val="HTML2"/>
          <w:rFonts w:cs="Arial Unicode MS" w:hint="eastAsia"/>
          <w:sz w:val="21"/>
          <w:szCs w:val="21"/>
        </w:rPr>
        <w:t>基金销售服务</w:t>
      </w:r>
      <w:r w:rsidRPr="00A2111E">
        <w:rPr>
          <w:rStyle w:val="HTML2"/>
          <w:rFonts w:cs="Arial Unicode MS"/>
          <w:sz w:val="21"/>
          <w:szCs w:val="21"/>
        </w:rPr>
        <w:t>协议，自2020年</w:t>
      </w:r>
      <w:r w:rsidR="000B6A43" w:rsidRPr="00A2111E">
        <w:rPr>
          <w:rStyle w:val="HTML2"/>
          <w:rFonts w:cs="Arial Unicode MS"/>
          <w:sz w:val="21"/>
          <w:szCs w:val="21"/>
        </w:rPr>
        <w:t>8月</w:t>
      </w:r>
      <w:r w:rsidR="00D734EB" w:rsidRPr="00A2111E">
        <w:rPr>
          <w:rStyle w:val="HTML2"/>
          <w:rFonts w:cs="Arial Unicode MS"/>
          <w:sz w:val="21"/>
          <w:szCs w:val="21"/>
        </w:rPr>
        <w:t>24日</w:t>
      </w:r>
      <w:r w:rsidRPr="00A2111E">
        <w:rPr>
          <w:rStyle w:val="HTML2"/>
          <w:rFonts w:cs="Arial Unicode MS"/>
          <w:sz w:val="21"/>
          <w:szCs w:val="21"/>
        </w:rPr>
        <w:t>起，本公司增加</w:t>
      </w:r>
      <w:r w:rsidR="00D734EB" w:rsidRPr="00A2111E">
        <w:rPr>
          <w:rFonts w:ascii="宋体" w:hAnsi="宋体" w:hint="eastAsia"/>
          <w:szCs w:val="21"/>
        </w:rPr>
        <w:t>中国人寿</w:t>
      </w:r>
      <w:r w:rsidRPr="00A2111E">
        <w:rPr>
          <w:rStyle w:val="HTML2"/>
          <w:rFonts w:cs="Arial Unicode MS" w:hint="eastAsia"/>
          <w:sz w:val="21"/>
          <w:szCs w:val="21"/>
        </w:rPr>
        <w:t>为旗下部分开放式基金销售机构并开通相关业务。</w:t>
      </w:r>
      <w:r w:rsidR="00A374DE" w:rsidRPr="00A2111E">
        <w:rPr>
          <w:rStyle w:val="HTML2"/>
          <w:rFonts w:cs="Arial Unicode MS" w:hint="eastAsia"/>
          <w:sz w:val="21"/>
          <w:szCs w:val="21"/>
        </w:rPr>
        <w:t>同时，为满足广大投资者的理财需求，经本公司与</w:t>
      </w:r>
      <w:r w:rsidR="00D734EB" w:rsidRPr="00A2111E">
        <w:rPr>
          <w:rStyle w:val="HTML2"/>
          <w:rFonts w:cs="Arial Unicode MS" w:hint="eastAsia"/>
          <w:sz w:val="21"/>
          <w:szCs w:val="21"/>
        </w:rPr>
        <w:t>中国人寿</w:t>
      </w:r>
      <w:r w:rsidR="00A374DE" w:rsidRPr="00A2111E">
        <w:rPr>
          <w:rStyle w:val="HTML2"/>
          <w:rFonts w:cs="Arial Unicode MS" w:hint="eastAsia"/>
          <w:sz w:val="21"/>
          <w:szCs w:val="21"/>
        </w:rPr>
        <w:t>协商一致，</w:t>
      </w:r>
      <w:r w:rsidR="00E55413" w:rsidRPr="00A2111E">
        <w:rPr>
          <w:rStyle w:val="HTML2"/>
          <w:rFonts w:cs="Arial Unicode MS" w:hint="eastAsia"/>
          <w:sz w:val="21"/>
          <w:szCs w:val="21"/>
        </w:rPr>
        <w:t>自</w:t>
      </w:r>
      <w:r w:rsidR="00A374DE" w:rsidRPr="00A2111E">
        <w:rPr>
          <w:rStyle w:val="HTML2"/>
          <w:rFonts w:cs="Arial Unicode MS" w:hint="eastAsia"/>
          <w:sz w:val="21"/>
          <w:szCs w:val="21"/>
        </w:rPr>
        <w:t>2020年</w:t>
      </w:r>
      <w:r w:rsidR="000B6A43" w:rsidRPr="00A2111E">
        <w:rPr>
          <w:rStyle w:val="HTML2"/>
          <w:rFonts w:cs="Arial Unicode MS"/>
          <w:sz w:val="21"/>
          <w:szCs w:val="21"/>
        </w:rPr>
        <w:t>8月</w:t>
      </w:r>
      <w:r w:rsidR="00D734EB" w:rsidRPr="00A2111E">
        <w:rPr>
          <w:rStyle w:val="HTML2"/>
          <w:rFonts w:cs="Arial Unicode MS"/>
          <w:sz w:val="21"/>
          <w:szCs w:val="21"/>
        </w:rPr>
        <w:t>24日</w:t>
      </w:r>
      <w:r w:rsidR="00E55413" w:rsidRPr="00A2111E">
        <w:rPr>
          <w:rStyle w:val="HTML2"/>
          <w:rFonts w:cs="Arial Unicode MS" w:hint="eastAsia"/>
          <w:sz w:val="21"/>
          <w:szCs w:val="21"/>
        </w:rPr>
        <w:t>起，本公司旗下部分开放式基金</w:t>
      </w:r>
      <w:r w:rsidR="00A374DE" w:rsidRPr="00A2111E">
        <w:rPr>
          <w:rStyle w:val="HTML2"/>
          <w:rFonts w:cs="Arial Unicode MS" w:hint="eastAsia"/>
          <w:sz w:val="21"/>
          <w:szCs w:val="21"/>
        </w:rPr>
        <w:t>参</w:t>
      </w:r>
      <w:r w:rsidR="00E55413" w:rsidRPr="00A2111E">
        <w:rPr>
          <w:rStyle w:val="HTML2"/>
          <w:rFonts w:cs="Arial Unicode MS" w:hint="eastAsia"/>
          <w:sz w:val="21"/>
          <w:szCs w:val="21"/>
        </w:rPr>
        <w:t>加</w:t>
      </w:r>
      <w:r w:rsidR="00D734EB" w:rsidRPr="00A2111E">
        <w:rPr>
          <w:rStyle w:val="HTML2"/>
          <w:rFonts w:cs="Arial Unicode MS" w:hint="eastAsia"/>
          <w:sz w:val="21"/>
          <w:szCs w:val="21"/>
        </w:rPr>
        <w:t>中国人寿</w:t>
      </w:r>
      <w:r w:rsidR="008F5538" w:rsidRPr="00A2111E">
        <w:rPr>
          <w:rStyle w:val="HTML2"/>
          <w:rFonts w:cs="Arial Unicode MS" w:hint="eastAsia"/>
          <w:sz w:val="21"/>
          <w:szCs w:val="21"/>
        </w:rPr>
        <w:t>申购及</w:t>
      </w:r>
      <w:r w:rsidR="00E55413" w:rsidRPr="00A2111E">
        <w:rPr>
          <w:rStyle w:val="HTML2"/>
          <w:rFonts w:cs="Arial Unicode MS" w:hint="eastAsia"/>
          <w:sz w:val="21"/>
          <w:szCs w:val="21"/>
        </w:rPr>
        <w:t>定期定额投资费率优惠活动。</w:t>
      </w:r>
    </w:p>
    <w:p w:rsidR="006D4FB7" w:rsidRPr="00A2111E" w:rsidRDefault="006D4FB7">
      <w:pPr>
        <w:spacing w:line="360" w:lineRule="auto"/>
        <w:ind w:firstLineChars="200" w:firstLine="420"/>
        <w:jc w:val="left"/>
        <w:rPr>
          <w:rStyle w:val="HTML2"/>
          <w:rFonts w:cs="Arial Unicode MS"/>
          <w:sz w:val="21"/>
          <w:szCs w:val="21"/>
        </w:rPr>
      </w:pPr>
      <w:r w:rsidRPr="00A2111E">
        <w:rPr>
          <w:rStyle w:val="HTML2"/>
          <w:rFonts w:cs="Arial Unicode MS"/>
          <w:sz w:val="21"/>
          <w:szCs w:val="21"/>
        </w:rPr>
        <w:t>现将有关事项公告如下：</w:t>
      </w:r>
    </w:p>
    <w:p w:rsidR="006D4FB7" w:rsidRPr="00A2111E" w:rsidRDefault="006D4FB7">
      <w:pPr>
        <w:spacing w:line="360" w:lineRule="auto"/>
        <w:ind w:firstLineChars="200" w:firstLine="420"/>
        <w:jc w:val="left"/>
        <w:rPr>
          <w:rStyle w:val="HTML2"/>
          <w:rFonts w:cs="Arial Unicode MS"/>
          <w:sz w:val="21"/>
          <w:szCs w:val="21"/>
        </w:rPr>
      </w:pPr>
      <w:r w:rsidRPr="00A2111E">
        <w:rPr>
          <w:rStyle w:val="HTML2"/>
          <w:rFonts w:cs="Arial Unicode MS" w:hint="eastAsia"/>
          <w:sz w:val="21"/>
          <w:szCs w:val="21"/>
        </w:rPr>
        <w:t>一、</w:t>
      </w:r>
      <w:r w:rsidRPr="00A2111E">
        <w:rPr>
          <w:rFonts w:ascii="宋体" w:hAnsi="宋体" w:hint="eastAsia"/>
          <w:szCs w:val="21"/>
        </w:rPr>
        <w:t>适用基金及业务范围</w:t>
      </w:r>
    </w:p>
    <w:p w:rsidR="006D4FB7" w:rsidRPr="00A2111E" w:rsidRDefault="006D4FB7">
      <w:pPr>
        <w:spacing w:line="360" w:lineRule="auto"/>
        <w:ind w:firstLineChars="200" w:firstLine="420"/>
        <w:jc w:val="left"/>
        <w:rPr>
          <w:rStyle w:val="a8"/>
          <w:rFonts w:ascii="宋体" w:hAnsi="宋体" w:cs="Arial Unicode MS"/>
        </w:rPr>
      </w:pPr>
      <w:r w:rsidRPr="00A2111E">
        <w:rPr>
          <w:rStyle w:val="a8"/>
          <w:rFonts w:ascii="宋体" w:hAnsi="宋体" w:cs="Arial Unicode MS"/>
        </w:rPr>
        <w:t>投资者可通过</w:t>
      </w:r>
      <w:r w:rsidR="00D734EB" w:rsidRPr="00A2111E">
        <w:rPr>
          <w:rStyle w:val="HTML2"/>
          <w:rFonts w:cs="Arial Unicode MS" w:hint="eastAsia"/>
          <w:sz w:val="21"/>
          <w:szCs w:val="21"/>
        </w:rPr>
        <w:t>中国人寿</w:t>
      </w:r>
      <w:r w:rsidRPr="00A2111E">
        <w:rPr>
          <w:rStyle w:val="a8"/>
          <w:rFonts w:ascii="宋体" w:hAnsi="宋体" w:cs="Arial Unicode MS"/>
        </w:rPr>
        <w:t>办理列表中对应基金的</w:t>
      </w:r>
      <w:r w:rsidRPr="00A2111E">
        <w:rPr>
          <w:rStyle w:val="a8"/>
          <w:rFonts w:ascii="宋体" w:hAnsi="宋体" w:cs="Arial Unicode MS" w:hint="eastAsia"/>
        </w:rPr>
        <w:t>相关</w:t>
      </w:r>
      <w:r w:rsidRPr="00A2111E">
        <w:rPr>
          <w:rStyle w:val="a8"/>
          <w:rFonts w:ascii="宋体" w:hAnsi="宋体" w:cs="Arial Unicode MS"/>
        </w:rPr>
        <w:t>业务，具体的业务流程、办理时间和办理方式以</w:t>
      </w:r>
      <w:r w:rsidR="00D734EB" w:rsidRPr="00A2111E">
        <w:rPr>
          <w:rStyle w:val="HTML2"/>
          <w:rFonts w:cs="Arial Unicode MS" w:hint="eastAsia"/>
          <w:sz w:val="21"/>
          <w:szCs w:val="21"/>
        </w:rPr>
        <w:t>中国人寿</w:t>
      </w:r>
      <w:r w:rsidRPr="00A2111E">
        <w:rPr>
          <w:rStyle w:val="a8"/>
          <w:rFonts w:ascii="宋体" w:hAnsi="宋体" w:cs="Arial Unicode MS"/>
        </w:rPr>
        <w:t>的规定为准。</w:t>
      </w:r>
    </w:p>
    <w:tbl>
      <w:tblPr>
        <w:tblW w:w="8359" w:type="dxa"/>
        <w:tblInd w:w="113" w:type="dxa"/>
        <w:tblLayout w:type="fixed"/>
        <w:tblLook w:val="04A0"/>
      </w:tblPr>
      <w:tblGrid>
        <w:gridCol w:w="546"/>
        <w:gridCol w:w="867"/>
        <w:gridCol w:w="3402"/>
        <w:gridCol w:w="850"/>
        <w:gridCol w:w="851"/>
        <w:gridCol w:w="850"/>
        <w:gridCol w:w="993"/>
      </w:tblGrid>
      <w:tr w:rsidR="00A2111E" w:rsidRPr="00A2111E" w:rsidTr="00A2111E">
        <w:trPr>
          <w:trHeight w:val="621"/>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538" w:rsidRPr="00A2111E" w:rsidRDefault="008F5538" w:rsidP="008F5538">
            <w:pPr>
              <w:widowControl/>
              <w:jc w:val="center"/>
              <w:rPr>
                <w:rFonts w:ascii="宋体" w:hAnsi="宋体" w:cs="宋体"/>
                <w:kern w:val="0"/>
                <w:szCs w:val="21"/>
              </w:rPr>
            </w:pPr>
            <w:r w:rsidRPr="00A2111E">
              <w:rPr>
                <w:rFonts w:ascii="宋体" w:hAnsi="宋体" w:cs="宋体" w:hint="eastAsia"/>
                <w:kern w:val="0"/>
                <w:szCs w:val="21"/>
              </w:rPr>
              <w:t>序号</w:t>
            </w:r>
          </w:p>
        </w:tc>
        <w:tc>
          <w:tcPr>
            <w:tcW w:w="867" w:type="dxa"/>
            <w:tcBorders>
              <w:top w:val="single" w:sz="4" w:space="0" w:color="000000"/>
              <w:left w:val="nil"/>
              <w:bottom w:val="single" w:sz="4" w:space="0" w:color="000000"/>
              <w:right w:val="single" w:sz="4" w:space="0" w:color="000000"/>
            </w:tcBorders>
            <w:shd w:val="clear" w:color="auto" w:fill="auto"/>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基金</w:t>
            </w:r>
            <w:r w:rsidRPr="00A2111E">
              <w:rPr>
                <w:rFonts w:ascii="宋体" w:hAnsi="宋体" w:cs="宋体"/>
                <w:kern w:val="0"/>
                <w:szCs w:val="21"/>
              </w:rPr>
              <w:br/>
            </w:r>
            <w:r w:rsidRPr="00A2111E">
              <w:rPr>
                <w:rFonts w:ascii="宋体" w:hAnsi="宋体" w:cs="宋体" w:hint="eastAsia"/>
                <w:kern w:val="0"/>
                <w:szCs w:val="21"/>
              </w:rPr>
              <w:t>代码</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基金名称</w:t>
            </w:r>
          </w:p>
        </w:tc>
        <w:tc>
          <w:tcPr>
            <w:tcW w:w="850" w:type="dxa"/>
            <w:tcBorders>
              <w:top w:val="single" w:sz="4" w:space="0" w:color="000000"/>
              <w:left w:val="nil"/>
              <w:bottom w:val="nil"/>
              <w:right w:val="single" w:sz="4" w:space="0" w:color="000000"/>
            </w:tcBorders>
            <w:shd w:val="clear" w:color="auto" w:fill="auto"/>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申购赎回业务</w:t>
            </w:r>
          </w:p>
        </w:tc>
        <w:tc>
          <w:tcPr>
            <w:tcW w:w="851" w:type="dxa"/>
            <w:tcBorders>
              <w:top w:val="single" w:sz="4" w:space="0" w:color="000000"/>
              <w:left w:val="nil"/>
              <w:bottom w:val="nil"/>
              <w:right w:val="single" w:sz="4" w:space="0" w:color="000000"/>
            </w:tcBorders>
            <w:shd w:val="clear" w:color="auto" w:fill="auto"/>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定期定额投资</w:t>
            </w:r>
          </w:p>
        </w:tc>
        <w:tc>
          <w:tcPr>
            <w:tcW w:w="850" w:type="dxa"/>
            <w:tcBorders>
              <w:top w:val="single" w:sz="4" w:space="0" w:color="000000"/>
              <w:left w:val="nil"/>
              <w:bottom w:val="nil"/>
              <w:right w:val="single" w:sz="4" w:space="0" w:color="000000"/>
            </w:tcBorders>
            <w:shd w:val="clear" w:color="auto" w:fill="auto"/>
            <w:vAlign w:val="center"/>
            <w:hideMark/>
          </w:tcPr>
          <w:p w:rsidR="006F48A2" w:rsidRPr="00A2111E" w:rsidRDefault="008F5538" w:rsidP="008F5538">
            <w:pPr>
              <w:widowControl/>
              <w:jc w:val="center"/>
              <w:rPr>
                <w:rFonts w:ascii="宋体" w:hAnsi="宋体" w:cs="宋体"/>
                <w:kern w:val="0"/>
                <w:szCs w:val="21"/>
              </w:rPr>
            </w:pPr>
            <w:r w:rsidRPr="00A2111E">
              <w:rPr>
                <w:rFonts w:ascii="宋体" w:hAnsi="宋体" w:cs="宋体" w:hint="eastAsia"/>
                <w:kern w:val="0"/>
                <w:szCs w:val="21"/>
              </w:rPr>
              <w:t>转换</w:t>
            </w:r>
          </w:p>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业务</w:t>
            </w:r>
          </w:p>
        </w:tc>
        <w:tc>
          <w:tcPr>
            <w:tcW w:w="993" w:type="dxa"/>
            <w:tcBorders>
              <w:top w:val="single" w:sz="4" w:space="0" w:color="000000"/>
              <w:left w:val="nil"/>
              <w:bottom w:val="nil"/>
              <w:right w:val="single" w:sz="4" w:space="0" w:color="000000"/>
            </w:tcBorders>
            <w:shd w:val="clear" w:color="auto" w:fill="auto"/>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是否参加费率优惠</w:t>
            </w:r>
          </w:p>
        </w:tc>
      </w:tr>
      <w:tr w:rsidR="00A2111E" w:rsidRPr="00A2111E" w:rsidTr="00A2111E">
        <w:trPr>
          <w:trHeight w:val="28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000009</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易方达天天理财货币市场基金A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000010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易方达天天理财货币市场基金B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000032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易方达信用债债券型基金A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000033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易方达信用债债券型基金C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000111</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易方达纯债1年定期开放债券型基金A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000112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易方达纯债1年定期开放债券型基金C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000147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易方达高等级信用债债券型基金A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000148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易方达高等级信用债债券型基金C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000171</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易方达裕丰回报债券型基金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000189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易方达丰华债券型基金A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000205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易方达投资级信用债债券型基金A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000206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易方达投资级信用债债券型基金C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000265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易方达恒久添利1年定期开放债券型基金A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000266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易方达恒久添利1年定期开放债券型基金C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000307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易方达黄金交易型开放式基金联接基金A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000404</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易方达新兴成长灵活配置混合型基金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000603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易方达创新驱动灵活配置混合型基</w:t>
            </w:r>
            <w:r w:rsidRPr="00A2111E">
              <w:rPr>
                <w:rFonts w:ascii="宋体" w:hAnsi="宋体" w:cs="宋体" w:hint="eastAsia"/>
                <w:kern w:val="0"/>
                <w:szCs w:val="21"/>
              </w:rPr>
              <w:lastRenderedPageBreak/>
              <w:t>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lastRenderedPageBreak/>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lastRenderedPageBreak/>
              <w:t>18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000647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易方达财富快线货币市场基金A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000648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易方达财富快线货币市场基金B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000704</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易方达天天增利货币市场基金A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000705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易方达天天增利货币市场基金B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000789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易方达龙宝货币市场基金A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000790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易方达龙宝货币市场基金B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000829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易方达天天发货币市场基金A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000830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易方达天天发货币市场基金B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000950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易方达沪深300非银行金融交易型开放式指数基金联接基金A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001010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易方达增金宝货币市场基金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001018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易方达新经济灵活配置混合型基金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29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001076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易方达改革红利混合型基金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001184</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易方达新常态灵活配置混合型基金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001344</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易方达沪深300医药卫生交易型开放式指数基金联接基金A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001373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易方达新丝路灵活配置混合型基金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001382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易方达国企改革混合型基金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001475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易方达国防军工混合型基金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001513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易方达信息产业混合型基金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001603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易方达安盈回报混合型基金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001856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易方达环保主题灵活配置混合型基金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001857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易方达现代服务业灵活配置混合型基金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39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001898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易方达大健康主题灵活配置混合型基金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002216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易方达量化策略精选灵活配置混合型基金A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002217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易方达量化策略精选灵活配置混合型基金C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002602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易方达丰惠混合型基金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002910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易方达供给改革灵活配置混合型基金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002963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易方达黄金交易型开放式基金联接基金C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002969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易方达丰和债券型基金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003293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易方达科瑞灵活配置混合型基金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004742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易方达深证100交易型开放式指数基金联接基金C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48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004743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易方达上证中盘交易型开放式指数基金联接基金C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lastRenderedPageBreak/>
              <w:t>49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004744</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易方达创业板交易型开放式指数基金联接基金C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004746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易方达50指数基金C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005437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易方达易百智能量化策略灵活配置混合型基金A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005438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易方达易百智能量化策略灵活配置混合型基金C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005583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易方达港股通红利灵活配置混合型基金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005827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易方达蓝筹精选混合型基金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005875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易方达中盘成长混合型基金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005876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易方达鑫转增利混合型基金A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005877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易方达鑫转增利混合型基金C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005955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易方达鑫转添利混合型基金A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59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005956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易方达鑫转添利混合型基金C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006013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易方达鑫转招利混合型基金A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006014</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易方达鑫转招利混合型基金C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006319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易方达安瑞短债债券型基金A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006320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易方达安瑞短债债券型基金C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006533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6F48A2">
            <w:pPr>
              <w:widowControl/>
              <w:jc w:val="center"/>
              <w:rPr>
                <w:rFonts w:ascii="宋体" w:hAnsi="宋体" w:cs="宋体" w:hint="eastAsia"/>
                <w:kern w:val="0"/>
                <w:szCs w:val="21"/>
              </w:rPr>
            </w:pPr>
            <w:r w:rsidRPr="00A2111E">
              <w:rPr>
                <w:rFonts w:ascii="宋体" w:hAnsi="宋体" w:cs="宋体" w:hint="eastAsia"/>
                <w:kern w:val="0"/>
                <w:szCs w:val="21"/>
              </w:rPr>
              <w:t>易方达科融混合型基金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006662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易方达安悦超短债债券型基金A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006663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易方达安悦超短债债券型基金C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006664</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易方达安悦超短债债券型基金F</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006867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易方达丰华债券型基金C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69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007028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易方达中证500交易型开放式指数基金发起式联接基金A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007029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易方达中证500交易型开放式指数基金发起式联接基金C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007339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易方达沪深300交易型开放式指数发起式基金联接基金C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007379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易方达上证50交易型开放式指数基金发起式联接基金A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007380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易方达上证50交易型开放式指数基金发起式联接基金C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007525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易方达年年恒夏纯债一年定期开放债券型发起式基金A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007526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易方达年年恒夏纯债一年定期开放债券型发起式基金C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007548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易方达ESG责任投资股票型发起式基金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007856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易方达中证800交易型开放式指数基金发起式联接基金A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007857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易方达中证800交易型开放式指数基金发起式联接基金C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79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007882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易方达沪深300非银行金融交易型开放式指数基金联接基金C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007883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易方达沪深300医药卫生交易型开放式指数基金联接基金C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007997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易方达年年恒秋纯债一年定期开放债券型发起式基金A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007998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易方达年年恒秋纯债一年定期开放债券型发起式基金C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008283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易方达金融行业股票型</w:t>
            </w:r>
            <w:r w:rsidR="006F48A2" w:rsidRPr="00A2111E">
              <w:rPr>
                <w:rFonts w:ascii="宋体" w:hAnsi="宋体" w:cs="宋体" w:hint="eastAsia"/>
                <w:kern w:val="0"/>
                <w:szCs w:val="21"/>
              </w:rPr>
              <w:t>发起式</w:t>
            </w:r>
            <w:r w:rsidRPr="00A2111E">
              <w:rPr>
                <w:rFonts w:ascii="宋体" w:hAnsi="宋体" w:cs="宋体" w:hint="eastAsia"/>
                <w:kern w:val="0"/>
                <w:szCs w:val="21"/>
              </w:rPr>
              <w:t>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008286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易方达研究精选股票型基金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008556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易方达裕富债券型基金A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008557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易方达裕富债券型基金C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009049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易方达高端制造混合型</w:t>
            </w:r>
            <w:r w:rsidR="006F48A2" w:rsidRPr="00A2111E">
              <w:rPr>
                <w:rFonts w:ascii="宋体" w:hAnsi="宋体" w:cs="宋体" w:hint="eastAsia"/>
                <w:kern w:val="0"/>
                <w:szCs w:val="21"/>
              </w:rPr>
              <w:t>发起式</w:t>
            </w:r>
            <w:r w:rsidRPr="00A2111E">
              <w:rPr>
                <w:rFonts w:ascii="宋体" w:hAnsi="宋体" w:cs="宋体" w:hint="eastAsia"/>
                <w:kern w:val="0"/>
                <w:szCs w:val="21"/>
              </w:rPr>
              <w:t>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009051</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易方达中证红利交易型开放式指数基金发起式联接基金A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89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009052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易方达中证红利交易型开放式指数基金发起式联接基金C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009265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易方达消费精选股票型基金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009292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易方达年年恒春纯债一年定期开放债券型发起式基金A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009293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易方达年年恒春纯债一年定期开放债券型发起式基金C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009808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易方达创新成长混合型基金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110001</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易方达平稳增长基金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易方达策略成长基金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易方达50指数基金A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易方达积极成长基金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易方达货币市场基金A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99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易方达稳健收益债券型基金A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易方达稳健收益债券型基金B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110009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易方达价值精选混合型基金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易方达价值成长混合型基金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110011</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易方达中小盘混合型基金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易方达科汇灵活配置混合型基金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易方达科翔混合型基金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易方达行业领先企业混合型基金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易方达货币市场基金B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易方达增强回报债券型基金A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109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易方达增强回报债券型基金B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110019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易方达深证100交易型开放式指数基金联接基金A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易方达沪深300交易型开放式指数发起式基金联接基金A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110021</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易方达上证中盘交易型开放式指数基金联接基金A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易方达消费行业股票型基金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易方达医疗保健行业混合型基金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易方达资源行业混合型基金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易方达创业板交易型开放式指数基金联接基金A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易方达安心回报债券型基金A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118</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易方达安心回报债券型基金B</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119</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110029</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易方达科讯混合型基金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120</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110030</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易方达沪深300量化增强基金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121</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110035</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易方达双债增强债券型基金A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122</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110036</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易方达双债增强债券型基金C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123</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110037</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易方达纯债债券型基金A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124</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110038</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易方达纯债债券型基金C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125</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110052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6F48A2">
            <w:pPr>
              <w:widowControl/>
              <w:jc w:val="center"/>
              <w:rPr>
                <w:rFonts w:ascii="宋体" w:hAnsi="宋体" w:cs="宋体" w:hint="eastAsia"/>
                <w:kern w:val="0"/>
                <w:szCs w:val="21"/>
              </w:rPr>
            </w:pPr>
            <w:r w:rsidRPr="00A2111E">
              <w:rPr>
                <w:rFonts w:ascii="宋体" w:hAnsi="宋体" w:cs="宋体" w:hint="eastAsia"/>
                <w:kern w:val="0"/>
                <w:szCs w:val="21"/>
              </w:rPr>
              <w:t>易方达安源中短债债券型基金C</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不参加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126</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110053</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6F48A2">
            <w:pPr>
              <w:widowControl/>
              <w:jc w:val="center"/>
              <w:rPr>
                <w:rFonts w:ascii="宋体" w:hAnsi="宋体" w:cs="宋体" w:hint="eastAsia"/>
                <w:kern w:val="0"/>
                <w:szCs w:val="21"/>
              </w:rPr>
            </w:pPr>
            <w:r w:rsidRPr="00A2111E">
              <w:rPr>
                <w:rFonts w:ascii="宋体" w:hAnsi="宋体" w:cs="宋体" w:hint="eastAsia"/>
                <w:kern w:val="0"/>
                <w:szCs w:val="21"/>
              </w:rPr>
              <w:t>易方达安源中短债债券型基金A</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r w:rsidR="00A2111E" w:rsidRPr="00A2111E" w:rsidTr="00A2111E">
        <w:trPr>
          <w:trHeight w:val="28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127</w:t>
            </w:r>
          </w:p>
        </w:tc>
        <w:tc>
          <w:tcPr>
            <w:tcW w:w="867" w:type="dxa"/>
            <w:tcBorders>
              <w:top w:val="nil"/>
              <w:left w:val="nil"/>
              <w:bottom w:val="single" w:sz="4" w:space="0" w:color="auto"/>
              <w:right w:val="single" w:sz="4" w:space="0" w:color="auto"/>
            </w:tcBorders>
            <w:shd w:val="clear" w:color="000000" w:fill="FFFFFF"/>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112002</w:t>
            </w:r>
          </w:p>
        </w:tc>
        <w:tc>
          <w:tcPr>
            <w:tcW w:w="3402"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易方达策略成长二号混合型基金</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1"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850"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开通</w:t>
            </w:r>
          </w:p>
        </w:tc>
        <w:tc>
          <w:tcPr>
            <w:tcW w:w="993" w:type="dxa"/>
            <w:tcBorders>
              <w:top w:val="nil"/>
              <w:left w:val="nil"/>
              <w:bottom w:val="single" w:sz="4" w:space="0" w:color="auto"/>
              <w:right w:val="single" w:sz="4" w:space="0" w:color="auto"/>
            </w:tcBorders>
            <w:shd w:val="clear" w:color="auto" w:fill="auto"/>
            <w:noWrap/>
            <w:vAlign w:val="center"/>
            <w:hideMark/>
          </w:tcPr>
          <w:p w:rsidR="008F5538" w:rsidRPr="00A2111E" w:rsidRDefault="008F5538" w:rsidP="008F5538">
            <w:pPr>
              <w:widowControl/>
              <w:jc w:val="center"/>
              <w:rPr>
                <w:rFonts w:ascii="宋体" w:hAnsi="宋体" w:cs="宋体" w:hint="eastAsia"/>
                <w:kern w:val="0"/>
                <w:szCs w:val="21"/>
              </w:rPr>
            </w:pPr>
            <w:r w:rsidRPr="00A2111E">
              <w:rPr>
                <w:rFonts w:ascii="宋体" w:hAnsi="宋体" w:cs="宋体" w:hint="eastAsia"/>
                <w:kern w:val="0"/>
                <w:szCs w:val="21"/>
              </w:rPr>
              <w:t>参加</w:t>
            </w:r>
          </w:p>
        </w:tc>
      </w:tr>
    </w:tbl>
    <w:p w:rsidR="00FF5718" w:rsidRPr="00A2111E" w:rsidRDefault="00F51A91" w:rsidP="008F5538">
      <w:pPr>
        <w:spacing w:line="360" w:lineRule="auto"/>
        <w:ind w:firstLineChars="200" w:firstLine="420"/>
        <w:jc w:val="left"/>
        <w:rPr>
          <w:rStyle w:val="a8"/>
          <w:rFonts w:ascii="宋体" w:hAnsi="宋体" w:cs="Arial Unicode MS"/>
        </w:rPr>
      </w:pPr>
      <w:r w:rsidRPr="00A2111E">
        <w:rPr>
          <w:rStyle w:val="a8"/>
          <w:rFonts w:ascii="宋体" w:hAnsi="宋体"/>
        </w:rPr>
        <w:t>注：</w:t>
      </w:r>
      <w:r w:rsidR="008F5538" w:rsidRPr="00A2111E">
        <w:rPr>
          <w:rFonts w:ascii="宋体" w:hAnsi="宋体" w:hint="eastAsia"/>
          <w:szCs w:val="21"/>
        </w:rPr>
        <w:t>1.易方达纯债1年定期开放债券型基金、易方达恒久添利1年定期开放债券型基金、易方达年年恒夏纯债一年定期开放债券型发起式基金、易方达年年恒秋纯债一年定期开放债券型发起式基金、易方达年年恒春纯债一年定期开放债券型发起式基金处于封闭运作期，暂不办理申购等业务，上述基金开放相关业务的具体时间本公司将另行公告；</w:t>
      </w:r>
    </w:p>
    <w:p w:rsidR="00F51A91" w:rsidRPr="00A2111E" w:rsidRDefault="00FF5718" w:rsidP="00D04212">
      <w:pPr>
        <w:spacing w:line="360" w:lineRule="auto"/>
        <w:ind w:firstLineChars="200" w:firstLine="420"/>
        <w:jc w:val="left"/>
        <w:rPr>
          <w:rStyle w:val="a8"/>
          <w:rFonts w:ascii="宋体" w:hAnsi="宋体" w:cs="Arial Unicode MS"/>
        </w:rPr>
      </w:pPr>
      <w:r w:rsidRPr="00A2111E">
        <w:rPr>
          <w:rStyle w:val="a8"/>
          <w:rFonts w:ascii="宋体" w:hAnsi="宋体" w:cs="Arial Unicode MS" w:hint="eastAsia"/>
        </w:rPr>
        <w:t>2.易方达蓝筹精选混合型基金仅开放转换转入业务，转换转出业务暂不开放，具体开放时间本公司将另行公告</w:t>
      </w:r>
      <w:r w:rsidR="0002698E" w:rsidRPr="00A2111E">
        <w:rPr>
          <w:rStyle w:val="a8"/>
          <w:rFonts w:ascii="宋体" w:hAnsi="宋体" w:cs="Arial Unicode MS" w:hint="eastAsia"/>
        </w:rPr>
        <w:t>；</w:t>
      </w:r>
    </w:p>
    <w:p w:rsidR="00DA23CA" w:rsidRPr="00A2111E" w:rsidRDefault="00FF5718" w:rsidP="000A7556">
      <w:pPr>
        <w:spacing w:line="360" w:lineRule="auto"/>
        <w:ind w:firstLineChars="200" w:firstLine="420"/>
        <w:jc w:val="left"/>
        <w:rPr>
          <w:rStyle w:val="a8"/>
          <w:rFonts w:ascii="宋体" w:hAnsi="宋体" w:cs="Arial Unicode MS"/>
        </w:rPr>
      </w:pPr>
      <w:r w:rsidRPr="00A2111E">
        <w:rPr>
          <w:rStyle w:val="HTML2"/>
          <w:rFonts w:cs="Arial Unicode MS"/>
          <w:sz w:val="21"/>
          <w:szCs w:val="21"/>
        </w:rPr>
        <w:t>3</w:t>
      </w:r>
      <w:r w:rsidR="00F51A91" w:rsidRPr="00A2111E">
        <w:rPr>
          <w:rStyle w:val="HTML2"/>
          <w:rFonts w:cs="Arial Unicode MS"/>
          <w:sz w:val="21"/>
          <w:szCs w:val="21"/>
        </w:rPr>
        <w:t>.</w:t>
      </w:r>
      <w:r w:rsidR="00F51A91" w:rsidRPr="00A2111E">
        <w:rPr>
          <w:rStyle w:val="a8"/>
          <w:rFonts w:ascii="宋体" w:hAnsi="宋体" w:hint="eastAsia"/>
        </w:rPr>
        <w:t>费率优惠活动期间，如本公司新增通过</w:t>
      </w:r>
      <w:r w:rsidR="00D734EB" w:rsidRPr="00A2111E">
        <w:rPr>
          <w:rStyle w:val="a8"/>
          <w:rFonts w:ascii="宋体" w:hAnsi="宋体" w:hint="eastAsia"/>
        </w:rPr>
        <w:t>中国人寿</w:t>
      </w:r>
      <w:r w:rsidR="00F51A91" w:rsidRPr="00A2111E">
        <w:rPr>
          <w:rStyle w:val="a8"/>
          <w:rFonts w:ascii="宋体" w:hAnsi="宋体" w:hint="eastAsia"/>
        </w:rPr>
        <w:t>销售的基金产品，</w:t>
      </w:r>
      <w:r w:rsidR="009E2702" w:rsidRPr="00A2111E">
        <w:rPr>
          <w:rStyle w:val="a8"/>
          <w:rFonts w:ascii="宋体" w:hAnsi="宋体" w:hint="eastAsia"/>
        </w:rPr>
        <w:t>则该基金产品自开放相关业务当日起</w:t>
      </w:r>
      <w:r w:rsidR="00F51A91" w:rsidRPr="00A2111E">
        <w:rPr>
          <w:rStyle w:val="a8"/>
          <w:rFonts w:ascii="宋体" w:hAnsi="宋体" w:hint="eastAsia"/>
        </w:rPr>
        <w:t>，将同时参与本费率优惠活动。</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二、关于本公司在</w:t>
      </w:r>
      <w:r w:rsidR="00D734EB" w:rsidRPr="00A2111E">
        <w:rPr>
          <w:rStyle w:val="HTML2"/>
          <w:rFonts w:cs="Arial Unicode MS" w:hint="eastAsia"/>
          <w:sz w:val="21"/>
          <w:szCs w:val="21"/>
        </w:rPr>
        <w:t>中国人寿</w:t>
      </w:r>
      <w:r w:rsidRPr="00A2111E">
        <w:rPr>
          <w:rStyle w:val="HTML2"/>
          <w:rFonts w:cs="Arial Unicode MS" w:hint="eastAsia"/>
          <w:sz w:val="21"/>
          <w:szCs w:val="21"/>
        </w:rPr>
        <w:t>推出旗下部分开放式基金的定期定额投资业务及本公司旗下部分开放式基金参加</w:t>
      </w:r>
      <w:r w:rsidR="00D734EB" w:rsidRPr="00A2111E">
        <w:rPr>
          <w:rStyle w:val="HTML2"/>
          <w:rFonts w:cs="Arial Unicode MS" w:hint="eastAsia"/>
          <w:sz w:val="21"/>
          <w:szCs w:val="21"/>
        </w:rPr>
        <w:t>中国人寿</w:t>
      </w:r>
      <w:r w:rsidRPr="00A2111E">
        <w:rPr>
          <w:rStyle w:val="HTML2"/>
          <w:rFonts w:cs="Arial Unicode MS" w:hint="eastAsia"/>
          <w:sz w:val="21"/>
          <w:szCs w:val="21"/>
        </w:rPr>
        <w:t>申购及定期定额投资费率优惠活动</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1.关于本公司在</w:t>
      </w:r>
      <w:r w:rsidR="00D734EB" w:rsidRPr="00A2111E">
        <w:rPr>
          <w:rStyle w:val="HTML2"/>
          <w:rFonts w:cs="Arial Unicode MS" w:hint="eastAsia"/>
          <w:sz w:val="21"/>
          <w:szCs w:val="21"/>
        </w:rPr>
        <w:t>中国人寿</w:t>
      </w:r>
      <w:r w:rsidRPr="00A2111E">
        <w:rPr>
          <w:rStyle w:val="HTML2"/>
          <w:rFonts w:cs="Arial Unicode MS" w:hint="eastAsia"/>
          <w:sz w:val="21"/>
          <w:szCs w:val="21"/>
        </w:rPr>
        <w:t>推出旗下部分开放式基金的定期定额投资业务</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（1）除另有公告外，定期定额投资费率与日常申购费率相同。</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（2）定期定额投资每期扣款金额：投资者通过</w:t>
      </w:r>
      <w:r w:rsidR="00D734EB" w:rsidRPr="00A2111E">
        <w:rPr>
          <w:rStyle w:val="HTML2"/>
          <w:rFonts w:cs="Arial Unicode MS" w:hint="eastAsia"/>
          <w:sz w:val="21"/>
          <w:szCs w:val="21"/>
        </w:rPr>
        <w:t>中国人寿</w:t>
      </w:r>
      <w:r w:rsidRPr="00A2111E">
        <w:rPr>
          <w:rStyle w:val="HTML2"/>
          <w:rFonts w:cs="Arial Unicode MS" w:hint="eastAsia"/>
          <w:sz w:val="21"/>
          <w:szCs w:val="21"/>
        </w:rPr>
        <w:t>办理定期定额投资业务，起点金额为100元。</w:t>
      </w:r>
      <w:r w:rsidR="00D734EB" w:rsidRPr="00A2111E">
        <w:rPr>
          <w:rStyle w:val="HTML2"/>
          <w:rFonts w:cs="Arial Unicode MS" w:hint="eastAsia"/>
          <w:sz w:val="21"/>
          <w:szCs w:val="21"/>
        </w:rPr>
        <w:t>中国人寿</w:t>
      </w:r>
      <w:r w:rsidRPr="00A2111E">
        <w:rPr>
          <w:rStyle w:val="HTML2"/>
          <w:rFonts w:cs="Arial Unicode MS" w:hint="eastAsia"/>
          <w:sz w:val="21"/>
          <w:szCs w:val="21"/>
        </w:rPr>
        <w:t>将按照与投资者申请时所约定的每期约定扣款日、扣款金额扣款，并在与基金日常申购业务相同的受理时间内提交申请。若遇非基金开放日时，扣款是否顺延以</w:t>
      </w:r>
      <w:r w:rsidR="00D734EB" w:rsidRPr="00A2111E">
        <w:rPr>
          <w:rStyle w:val="HTML2"/>
          <w:rFonts w:cs="Arial Unicode MS" w:hint="eastAsia"/>
          <w:sz w:val="21"/>
          <w:szCs w:val="21"/>
        </w:rPr>
        <w:t>中国人寿</w:t>
      </w:r>
      <w:r w:rsidRPr="00A2111E">
        <w:rPr>
          <w:rStyle w:val="HTML2"/>
          <w:rFonts w:cs="Arial Unicode MS" w:hint="eastAsia"/>
          <w:sz w:val="21"/>
          <w:szCs w:val="21"/>
        </w:rPr>
        <w:t>的具体规定为准。具体扣款方式以</w:t>
      </w:r>
      <w:r w:rsidR="00D734EB" w:rsidRPr="00A2111E">
        <w:rPr>
          <w:rStyle w:val="HTML2"/>
          <w:rFonts w:cs="Arial Unicode MS" w:hint="eastAsia"/>
          <w:sz w:val="21"/>
          <w:szCs w:val="21"/>
        </w:rPr>
        <w:t>中国人寿</w:t>
      </w:r>
      <w:r w:rsidRPr="00A2111E">
        <w:rPr>
          <w:rStyle w:val="HTML2"/>
          <w:rFonts w:cs="Arial Unicode MS" w:hint="eastAsia"/>
          <w:sz w:val="21"/>
          <w:szCs w:val="21"/>
        </w:rPr>
        <w:t>的相关业务规则为准。</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（3）</w:t>
      </w:r>
      <w:r w:rsidR="006F48A2" w:rsidRPr="00A2111E">
        <w:rPr>
          <w:rStyle w:val="HTML2"/>
          <w:rFonts w:cs="Arial Unicode MS"/>
          <w:sz w:val="21"/>
          <w:szCs w:val="21"/>
        </w:rPr>
        <w:t>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（4）当发生限制申购或暂停申购的情形时，除另有公告外，定期定额投资与日常申购按相同的原则确认。</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（5）定期定额投资业务的其它具体办理程序请遵循</w:t>
      </w:r>
      <w:r w:rsidR="00D734EB" w:rsidRPr="00A2111E">
        <w:rPr>
          <w:rStyle w:val="HTML2"/>
          <w:rFonts w:cs="Arial Unicode MS" w:hint="eastAsia"/>
          <w:sz w:val="21"/>
          <w:szCs w:val="21"/>
        </w:rPr>
        <w:t>中国人寿</w:t>
      </w:r>
      <w:r w:rsidRPr="00A2111E">
        <w:rPr>
          <w:rStyle w:val="HTML2"/>
          <w:rFonts w:cs="Arial Unicode MS" w:hint="eastAsia"/>
          <w:sz w:val="21"/>
          <w:szCs w:val="21"/>
        </w:rPr>
        <w:t>的有关规定。</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2.关于本公司旗下部分开放式基金参加</w:t>
      </w:r>
      <w:r w:rsidR="00D734EB" w:rsidRPr="00A2111E">
        <w:rPr>
          <w:rStyle w:val="HTML2"/>
          <w:rFonts w:cs="Arial Unicode MS" w:hint="eastAsia"/>
          <w:sz w:val="21"/>
          <w:szCs w:val="21"/>
        </w:rPr>
        <w:t>中国人寿</w:t>
      </w:r>
      <w:r w:rsidRPr="00A2111E">
        <w:rPr>
          <w:rStyle w:val="HTML2"/>
          <w:rFonts w:cs="Arial Unicode MS" w:hint="eastAsia"/>
          <w:sz w:val="21"/>
          <w:szCs w:val="21"/>
        </w:rPr>
        <w:t>申购及定期定额投资费率优惠活动</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费率优惠活动自2020年8月</w:t>
      </w:r>
      <w:r w:rsidR="00D734EB" w:rsidRPr="00A2111E">
        <w:rPr>
          <w:rStyle w:val="HTML2"/>
          <w:rFonts w:cs="Arial Unicode MS" w:hint="eastAsia"/>
          <w:sz w:val="21"/>
          <w:szCs w:val="21"/>
        </w:rPr>
        <w:t>24日</w:t>
      </w:r>
      <w:r w:rsidRPr="00A2111E">
        <w:rPr>
          <w:rStyle w:val="HTML2"/>
          <w:rFonts w:cs="Arial Unicode MS" w:hint="eastAsia"/>
          <w:sz w:val="21"/>
          <w:szCs w:val="21"/>
        </w:rPr>
        <w:t>起开展，暂不设截止日期。若有变动，以</w:t>
      </w:r>
      <w:r w:rsidR="00D734EB" w:rsidRPr="00A2111E">
        <w:rPr>
          <w:rStyle w:val="HTML2"/>
          <w:rFonts w:cs="Arial Unicode MS" w:hint="eastAsia"/>
          <w:sz w:val="21"/>
          <w:szCs w:val="21"/>
        </w:rPr>
        <w:t>中国人寿</w:t>
      </w:r>
      <w:r w:rsidRPr="00A2111E">
        <w:rPr>
          <w:rStyle w:val="HTML2"/>
          <w:rFonts w:cs="Arial Unicode MS" w:hint="eastAsia"/>
          <w:sz w:val="21"/>
          <w:szCs w:val="21"/>
        </w:rPr>
        <w:t>相关公告为准。</w:t>
      </w:r>
    </w:p>
    <w:p w:rsidR="009E2702" w:rsidRPr="00A2111E" w:rsidRDefault="002D370F" w:rsidP="009E2702">
      <w:pPr>
        <w:spacing w:line="360" w:lineRule="auto"/>
        <w:ind w:firstLineChars="200" w:firstLine="420"/>
        <w:jc w:val="left"/>
        <w:rPr>
          <w:rStyle w:val="HTML2"/>
          <w:rFonts w:cs="Arial Unicode MS"/>
          <w:sz w:val="21"/>
          <w:szCs w:val="21"/>
        </w:rPr>
      </w:pPr>
      <w:r w:rsidRPr="00A2111E">
        <w:rPr>
          <w:rStyle w:val="HTML2"/>
          <w:rFonts w:cs="Arial Unicode MS" w:hint="eastAsia"/>
          <w:sz w:val="21"/>
          <w:szCs w:val="21"/>
        </w:rPr>
        <w:t>费率优惠活动期间，投资者通过</w:t>
      </w:r>
      <w:r w:rsidR="00D734EB" w:rsidRPr="00A2111E">
        <w:rPr>
          <w:rStyle w:val="HTML2"/>
          <w:rFonts w:cs="Arial Unicode MS" w:hint="eastAsia"/>
          <w:sz w:val="21"/>
          <w:szCs w:val="21"/>
        </w:rPr>
        <w:t>中国人寿</w:t>
      </w:r>
      <w:r w:rsidRPr="00A2111E">
        <w:rPr>
          <w:rStyle w:val="HTML2"/>
          <w:rFonts w:cs="Arial Unicode MS" w:hint="eastAsia"/>
          <w:sz w:val="21"/>
          <w:szCs w:val="21"/>
        </w:rPr>
        <w:t>申购或定期定额投资上述适用基金，享有基金申购费率</w:t>
      </w:r>
      <w:r w:rsidR="00D734EB" w:rsidRPr="00A2111E">
        <w:rPr>
          <w:rStyle w:val="HTML2"/>
          <w:rFonts w:cs="Arial Unicode MS" w:hint="eastAsia"/>
          <w:sz w:val="21"/>
          <w:szCs w:val="21"/>
        </w:rPr>
        <w:t>1</w:t>
      </w:r>
      <w:r w:rsidRPr="00A2111E">
        <w:rPr>
          <w:rStyle w:val="HTML2"/>
          <w:rFonts w:cs="Arial Unicode MS" w:hint="eastAsia"/>
          <w:sz w:val="21"/>
          <w:szCs w:val="21"/>
        </w:rPr>
        <w:t>折优惠，即实收申购费率＝原申购费率×0.</w:t>
      </w:r>
      <w:r w:rsidR="00D734EB" w:rsidRPr="00A2111E">
        <w:rPr>
          <w:rStyle w:val="HTML2"/>
          <w:rFonts w:cs="Arial Unicode MS" w:hint="eastAsia"/>
          <w:sz w:val="21"/>
          <w:szCs w:val="21"/>
        </w:rPr>
        <w:t>1</w:t>
      </w:r>
      <w:r w:rsidRPr="00A2111E">
        <w:rPr>
          <w:rStyle w:val="HTML2"/>
          <w:rFonts w:cs="Arial Unicode MS" w:hint="eastAsia"/>
          <w:sz w:val="21"/>
          <w:szCs w:val="21"/>
        </w:rPr>
        <w:t>；原申购费率为固定费用的，则按原申购费率执行。</w:t>
      </w:r>
    </w:p>
    <w:p w:rsidR="0002698E" w:rsidRPr="00A2111E" w:rsidRDefault="002D370F" w:rsidP="009E2702">
      <w:pPr>
        <w:spacing w:line="360" w:lineRule="auto"/>
        <w:ind w:firstLineChars="200" w:firstLine="420"/>
        <w:jc w:val="left"/>
        <w:rPr>
          <w:rStyle w:val="HTML2"/>
          <w:rFonts w:cs="Arial Unicode MS"/>
          <w:sz w:val="21"/>
          <w:szCs w:val="21"/>
        </w:rPr>
      </w:pPr>
      <w:r w:rsidRPr="00A2111E">
        <w:rPr>
          <w:rStyle w:val="HTML2"/>
          <w:rFonts w:cs="Arial Unicode MS" w:hint="eastAsia"/>
          <w:sz w:val="21"/>
          <w:szCs w:val="21"/>
        </w:rPr>
        <w:t>上述适用基金的原申购费率参见各基金的相关法律文件及本公司发布的最新相关公告。</w:t>
      </w:r>
    </w:p>
    <w:p w:rsidR="006D4FB7" w:rsidRPr="00A2111E" w:rsidRDefault="006D4FB7" w:rsidP="009E2702">
      <w:pPr>
        <w:spacing w:line="360" w:lineRule="auto"/>
        <w:ind w:firstLineChars="200" w:firstLine="420"/>
        <w:jc w:val="left"/>
        <w:rPr>
          <w:rStyle w:val="HTML2"/>
          <w:rFonts w:cs="Arial Unicode MS"/>
          <w:sz w:val="21"/>
          <w:szCs w:val="21"/>
        </w:rPr>
      </w:pPr>
      <w:r w:rsidRPr="00A2111E">
        <w:rPr>
          <w:rStyle w:val="HTML2"/>
          <w:rFonts w:cs="Arial Unicode MS" w:hint="eastAsia"/>
          <w:sz w:val="21"/>
          <w:szCs w:val="21"/>
        </w:rPr>
        <w:t>三、重要提示</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1.本优惠活动的规则以</w:t>
      </w:r>
      <w:r w:rsidR="00D734EB" w:rsidRPr="00A2111E">
        <w:rPr>
          <w:rStyle w:val="HTML2"/>
          <w:rFonts w:cs="Arial Unicode MS" w:hint="eastAsia"/>
          <w:sz w:val="21"/>
          <w:szCs w:val="21"/>
        </w:rPr>
        <w:t>中国人寿</w:t>
      </w:r>
      <w:r w:rsidRPr="00A2111E">
        <w:rPr>
          <w:rStyle w:val="HTML2"/>
          <w:rFonts w:cs="Arial Unicode MS" w:hint="eastAsia"/>
          <w:sz w:val="21"/>
          <w:szCs w:val="21"/>
        </w:rPr>
        <w:t>的规定为准。投资者欲了解基金产品的详细情况，请仔细阅读各基金的基金合同、招募说明书（更新）等法律文件。本优惠活动仅适用于处于正常申购期的基金产品的日常申购</w:t>
      </w:r>
      <w:r w:rsidR="009E2702" w:rsidRPr="00A2111E">
        <w:rPr>
          <w:rStyle w:val="HTML2"/>
          <w:rFonts w:cs="Arial Unicode MS" w:hint="eastAsia"/>
          <w:sz w:val="21"/>
          <w:szCs w:val="21"/>
        </w:rPr>
        <w:t>手续费</w:t>
      </w:r>
      <w:r w:rsidRPr="00A2111E">
        <w:rPr>
          <w:rStyle w:val="HTML2"/>
          <w:rFonts w:cs="Arial Unicode MS" w:hint="eastAsia"/>
          <w:sz w:val="21"/>
          <w:szCs w:val="21"/>
        </w:rPr>
        <w:t>或定期定额投资手续费，不包括基金赎回、转换业务等其他业务的基金手续费。费率优惠活动期间，通过</w:t>
      </w:r>
      <w:r w:rsidR="00D734EB" w:rsidRPr="00A2111E">
        <w:rPr>
          <w:rStyle w:val="HTML2"/>
          <w:rFonts w:cs="Arial Unicode MS" w:hint="eastAsia"/>
          <w:sz w:val="21"/>
          <w:szCs w:val="21"/>
        </w:rPr>
        <w:t>中国人寿</w:t>
      </w:r>
      <w:r w:rsidRPr="00A2111E">
        <w:rPr>
          <w:rStyle w:val="HTML2"/>
          <w:rFonts w:cs="Arial Unicode MS" w:hint="eastAsia"/>
          <w:sz w:val="21"/>
          <w:szCs w:val="21"/>
        </w:rPr>
        <w:t>办理定期定额投资业务的投资者仅享有定期定额投资费率优惠，不同时享有申购费率优惠。</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2.本公司所管理的尚未开通定期定额投资业务的开放式基金及今后发行的开放式基金是否开通定期定额投资业务将根据具体情况确定并另行公告。若今后</w:t>
      </w:r>
      <w:r w:rsidR="00D734EB" w:rsidRPr="00A2111E">
        <w:rPr>
          <w:rStyle w:val="HTML2"/>
          <w:rFonts w:cs="Arial Unicode MS" w:hint="eastAsia"/>
          <w:sz w:val="21"/>
          <w:szCs w:val="21"/>
        </w:rPr>
        <w:t>中国人寿</w:t>
      </w:r>
      <w:r w:rsidRPr="00A2111E">
        <w:rPr>
          <w:rStyle w:val="HTML2"/>
          <w:rFonts w:cs="Arial Unicode MS" w:hint="eastAsia"/>
          <w:sz w:val="21"/>
          <w:szCs w:val="21"/>
        </w:rPr>
        <w:t>依据法律法规及基金相关法律文件对定期定额投资起点金额进行调整，在不低于本公司对各基金设定的定期定额投资起点金额的前提下，以</w:t>
      </w:r>
      <w:r w:rsidR="00D734EB" w:rsidRPr="00A2111E">
        <w:rPr>
          <w:rStyle w:val="HTML2"/>
          <w:rFonts w:cs="Arial Unicode MS" w:hint="eastAsia"/>
          <w:sz w:val="21"/>
          <w:szCs w:val="21"/>
        </w:rPr>
        <w:t>中国人寿</w:t>
      </w:r>
      <w:r w:rsidRPr="00A2111E">
        <w:rPr>
          <w:rStyle w:val="HTML2"/>
          <w:rFonts w:cs="Arial Unicode MS" w:hint="eastAsia"/>
          <w:sz w:val="21"/>
          <w:szCs w:val="21"/>
        </w:rPr>
        <w:t>最新规定为准。</w:t>
      </w:r>
    </w:p>
    <w:p w:rsidR="002D370F" w:rsidRPr="00A2111E" w:rsidRDefault="002D370F"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3.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6D4FB7" w:rsidRPr="00A2111E" w:rsidRDefault="002D370F" w:rsidP="002D370F">
      <w:pPr>
        <w:spacing w:line="360" w:lineRule="auto"/>
        <w:ind w:firstLineChars="200" w:firstLine="420"/>
        <w:jc w:val="left"/>
        <w:rPr>
          <w:rStyle w:val="HTML2"/>
          <w:rFonts w:cs="Arial Unicode MS"/>
          <w:sz w:val="21"/>
          <w:szCs w:val="21"/>
        </w:rPr>
      </w:pPr>
      <w:r w:rsidRPr="00A2111E">
        <w:rPr>
          <w:rStyle w:val="HTML2"/>
          <w:rFonts w:cs="Arial Unicode MS" w:hint="eastAsia"/>
          <w:sz w:val="21"/>
          <w:szCs w:val="21"/>
        </w:rPr>
        <w:t>4.上述基金最新交易状态请关注本公司相关公告。</w:t>
      </w:r>
    </w:p>
    <w:p w:rsidR="009E2702" w:rsidRPr="00A2111E" w:rsidRDefault="009E2702" w:rsidP="002D370F">
      <w:pPr>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5.本公告的解释权归易方达基金管理有限公司所有。</w:t>
      </w:r>
    </w:p>
    <w:p w:rsidR="006D4FB7" w:rsidRPr="00A2111E" w:rsidRDefault="006D4FB7">
      <w:pPr>
        <w:spacing w:line="360" w:lineRule="auto"/>
        <w:ind w:left="420"/>
        <w:jc w:val="left"/>
        <w:outlineLvl w:val="0"/>
        <w:rPr>
          <w:rStyle w:val="HTML2"/>
          <w:rFonts w:cs="Arial Unicode MS"/>
          <w:sz w:val="21"/>
          <w:szCs w:val="21"/>
        </w:rPr>
      </w:pPr>
      <w:r w:rsidRPr="00A2111E">
        <w:rPr>
          <w:rStyle w:val="HTML2"/>
          <w:rFonts w:cs="Arial Unicode MS" w:hint="eastAsia"/>
          <w:sz w:val="21"/>
          <w:szCs w:val="21"/>
        </w:rPr>
        <w:t>四、</w:t>
      </w:r>
      <w:r w:rsidRPr="00A2111E">
        <w:rPr>
          <w:rStyle w:val="HTML2"/>
          <w:rFonts w:cs="Arial Unicode MS"/>
          <w:sz w:val="21"/>
          <w:szCs w:val="21"/>
        </w:rPr>
        <w:t>投资者可通过以下途径咨询有关详情</w:t>
      </w:r>
    </w:p>
    <w:p w:rsidR="006D4FB7" w:rsidRPr="00A2111E" w:rsidRDefault="006D4FB7">
      <w:pPr>
        <w:tabs>
          <w:tab w:val="left" w:pos="824"/>
        </w:tabs>
        <w:spacing w:line="360" w:lineRule="auto"/>
        <w:ind w:firstLineChars="200" w:firstLine="420"/>
        <w:jc w:val="left"/>
        <w:rPr>
          <w:rFonts w:ascii="宋体" w:hAnsi="宋体" w:cs="Arial Unicode MS"/>
          <w:szCs w:val="21"/>
        </w:rPr>
      </w:pPr>
      <w:r w:rsidRPr="00A2111E">
        <w:rPr>
          <w:rFonts w:ascii="宋体" w:hAnsi="宋体" w:hint="eastAsia"/>
          <w:szCs w:val="21"/>
        </w:rPr>
        <w:t>1</w:t>
      </w:r>
      <w:r w:rsidRPr="00A2111E">
        <w:rPr>
          <w:rFonts w:ascii="宋体" w:hAnsi="宋体"/>
          <w:szCs w:val="21"/>
        </w:rPr>
        <w:t>.</w:t>
      </w:r>
      <w:r w:rsidR="00D734EB" w:rsidRPr="00A2111E">
        <w:rPr>
          <w:rStyle w:val="HTML2"/>
          <w:rFonts w:cs="Arial Unicode MS" w:hint="eastAsia"/>
          <w:sz w:val="21"/>
          <w:szCs w:val="21"/>
        </w:rPr>
        <w:t>中国人寿</w:t>
      </w:r>
    </w:p>
    <w:p w:rsidR="00EE5BDB" w:rsidRPr="00A2111E" w:rsidRDefault="00EE5BDB" w:rsidP="00EE5BDB">
      <w:pPr>
        <w:tabs>
          <w:tab w:val="left" w:pos="824"/>
        </w:tabs>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注册地址：北京市西城区金融大街16号</w:t>
      </w:r>
    </w:p>
    <w:p w:rsidR="00EE5BDB" w:rsidRPr="00A2111E" w:rsidRDefault="00EE5BDB" w:rsidP="00EE5BDB">
      <w:pPr>
        <w:tabs>
          <w:tab w:val="left" w:pos="824"/>
        </w:tabs>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办公地址：北京市西城区金融大街16号</w:t>
      </w:r>
    </w:p>
    <w:p w:rsidR="00EE5BDB" w:rsidRPr="00A2111E" w:rsidRDefault="00EE5BDB" w:rsidP="00EE5BDB">
      <w:pPr>
        <w:tabs>
          <w:tab w:val="left" w:pos="824"/>
        </w:tabs>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法定代表人：王滨</w:t>
      </w:r>
    </w:p>
    <w:p w:rsidR="00EE5BDB" w:rsidRPr="00A2111E" w:rsidRDefault="00EE5BDB" w:rsidP="00EE5BDB">
      <w:pPr>
        <w:tabs>
          <w:tab w:val="left" w:pos="824"/>
        </w:tabs>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联系人：杨子彤</w:t>
      </w:r>
    </w:p>
    <w:p w:rsidR="00EE5BDB" w:rsidRPr="00A2111E" w:rsidRDefault="00EE5BDB" w:rsidP="00EE5BDB">
      <w:pPr>
        <w:tabs>
          <w:tab w:val="left" w:pos="824"/>
        </w:tabs>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联系电话：</w:t>
      </w:r>
      <w:r w:rsidR="006E126D" w:rsidRPr="00A2111E">
        <w:rPr>
          <w:rStyle w:val="HTML2"/>
          <w:rFonts w:cs="Arial Unicode MS" w:hint="eastAsia"/>
          <w:sz w:val="21"/>
          <w:szCs w:val="21"/>
        </w:rPr>
        <w:t>010-6363</w:t>
      </w:r>
      <w:r w:rsidR="009E2702" w:rsidRPr="00A2111E">
        <w:rPr>
          <w:rStyle w:val="HTML2"/>
          <w:rFonts w:cs="Arial Unicode MS" w:hint="eastAsia"/>
          <w:sz w:val="21"/>
          <w:szCs w:val="21"/>
        </w:rPr>
        <w:t>1752</w:t>
      </w:r>
    </w:p>
    <w:p w:rsidR="00EE5BDB" w:rsidRPr="00A2111E" w:rsidRDefault="00EE5BDB" w:rsidP="00EE5BDB">
      <w:pPr>
        <w:tabs>
          <w:tab w:val="left" w:pos="824"/>
        </w:tabs>
        <w:spacing w:line="360" w:lineRule="auto"/>
        <w:ind w:firstLineChars="200" w:firstLine="420"/>
        <w:jc w:val="left"/>
        <w:rPr>
          <w:rStyle w:val="HTML2"/>
          <w:rFonts w:cs="Arial Unicode MS" w:hint="eastAsia"/>
          <w:sz w:val="21"/>
          <w:szCs w:val="21"/>
        </w:rPr>
      </w:pPr>
      <w:r w:rsidRPr="00A2111E">
        <w:rPr>
          <w:rStyle w:val="HTML2"/>
          <w:rFonts w:cs="Arial Unicode MS" w:hint="eastAsia"/>
          <w:sz w:val="21"/>
          <w:szCs w:val="21"/>
        </w:rPr>
        <w:t>客服电话：9</w:t>
      </w:r>
      <w:r w:rsidR="009E2702" w:rsidRPr="00A2111E">
        <w:rPr>
          <w:rStyle w:val="HTML2"/>
          <w:rFonts w:cs="Arial Unicode MS" w:hint="eastAsia"/>
          <w:sz w:val="21"/>
          <w:szCs w:val="21"/>
        </w:rPr>
        <w:t>5519</w:t>
      </w:r>
    </w:p>
    <w:p w:rsidR="004D1093" w:rsidRPr="00A2111E" w:rsidRDefault="00EE5BDB" w:rsidP="00EE5BDB">
      <w:pPr>
        <w:tabs>
          <w:tab w:val="left" w:pos="824"/>
        </w:tabs>
        <w:spacing w:line="360" w:lineRule="auto"/>
        <w:ind w:firstLineChars="200" w:firstLine="420"/>
        <w:jc w:val="left"/>
        <w:rPr>
          <w:rStyle w:val="HTML2"/>
          <w:rFonts w:cs="Arial Unicode MS"/>
          <w:sz w:val="21"/>
          <w:szCs w:val="21"/>
        </w:rPr>
      </w:pPr>
      <w:r w:rsidRPr="00A2111E">
        <w:rPr>
          <w:rStyle w:val="HTML2"/>
          <w:rFonts w:cs="Arial Unicode MS" w:hint="eastAsia"/>
          <w:sz w:val="21"/>
          <w:szCs w:val="21"/>
        </w:rPr>
        <w:t>公司网站：www.e-chinalife.com</w:t>
      </w:r>
    </w:p>
    <w:p w:rsidR="006D4FB7" w:rsidRPr="00A2111E" w:rsidRDefault="006D4FB7" w:rsidP="004D1093">
      <w:pPr>
        <w:tabs>
          <w:tab w:val="left" w:pos="824"/>
        </w:tabs>
        <w:spacing w:line="360" w:lineRule="auto"/>
        <w:ind w:firstLineChars="200" w:firstLine="420"/>
        <w:jc w:val="left"/>
        <w:rPr>
          <w:rFonts w:ascii="宋体" w:hAnsi="宋体" w:cs="Arial Unicode MS"/>
          <w:szCs w:val="21"/>
        </w:rPr>
      </w:pPr>
      <w:r w:rsidRPr="00A2111E">
        <w:rPr>
          <w:rFonts w:ascii="宋体" w:hAnsi="宋体" w:cs="Arial Unicode MS" w:hint="eastAsia"/>
          <w:szCs w:val="21"/>
        </w:rPr>
        <w:t>2</w:t>
      </w:r>
      <w:r w:rsidRPr="00A2111E">
        <w:rPr>
          <w:rFonts w:ascii="宋体" w:hAnsi="宋体" w:cs="Arial Unicode MS"/>
          <w:szCs w:val="21"/>
        </w:rPr>
        <w:t>.</w:t>
      </w:r>
      <w:r w:rsidRPr="00A2111E">
        <w:rPr>
          <w:rFonts w:ascii="宋体" w:hAnsi="宋体" w:cs="Arial Unicode MS" w:hint="eastAsia"/>
          <w:szCs w:val="21"/>
        </w:rPr>
        <w:t>易方达基金管理有限公司</w:t>
      </w:r>
    </w:p>
    <w:p w:rsidR="006D4FB7" w:rsidRPr="00A2111E" w:rsidRDefault="006D4FB7">
      <w:pPr>
        <w:spacing w:line="360" w:lineRule="auto"/>
        <w:ind w:firstLineChars="200" w:firstLine="420"/>
        <w:jc w:val="left"/>
        <w:rPr>
          <w:rFonts w:ascii="宋体" w:hAnsi="宋体" w:cs="Arial Unicode MS"/>
          <w:szCs w:val="21"/>
        </w:rPr>
      </w:pPr>
      <w:r w:rsidRPr="00A2111E">
        <w:rPr>
          <w:rStyle w:val="HTML2"/>
          <w:rFonts w:cs="Arial Unicode MS"/>
          <w:sz w:val="21"/>
          <w:szCs w:val="21"/>
        </w:rPr>
        <w:t>客户服务电话：400-881-8088</w:t>
      </w:r>
    </w:p>
    <w:p w:rsidR="006D4FB7" w:rsidRPr="00A2111E" w:rsidRDefault="006D4FB7">
      <w:pPr>
        <w:spacing w:line="360" w:lineRule="auto"/>
        <w:ind w:firstLineChars="200" w:firstLine="420"/>
        <w:jc w:val="left"/>
        <w:rPr>
          <w:rStyle w:val="HTML2"/>
          <w:rFonts w:cs="Arial Unicode MS"/>
          <w:sz w:val="21"/>
          <w:szCs w:val="21"/>
        </w:rPr>
      </w:pPr>
      <w:r w:rsidRPr="00A2111E">
        <w:rPr>
          <w:rStyle w:val="HTML2"/>
          <w:rFonts w:cs="Arial Unicode MS"/>
          <w:sz w:val="21"/>
          <w:szCs w:val="21"/>
        </w:rPr>
        <w:t>网址：</w:t>
      </w:r>
      <w:hyperlink r:id="rId7" w:history="1">
        <w:r w:rsidRPr="00A2111E">
          <w:rPr>
            <w:rStyle w:val="a4"/>
            <w:rFonts w:ascii="宋体" w:hAnsi="宋体" w:cs="Arial Unicode MS"/>
            <w:color w:val="auto"/>
            <w:szCs w:val="21"/>
          </w:rPr>
          <w:t>www.efunds.com.cn</w:t>
        </w:r>
      </w:hyperlink>
    </w:p>
    <w:p w:rsidR="003232B6" w:rsidRPr="00A2111E" w:rsidRDefault="003232B6" w:rsidP="003232B6">
      <w:pPr>
        <w:spacing w:line="360" w:lineRule="auto"/>
        <w:ind w:firstLineChars="200" w:firstLine="420"/>
        <w:jc w:val="left"/>
        <w:rPr>
          <w:rFonts w:ascii="宋体" w:hAnsi="宋体" w:cs="Arial Unicode MS" w:hint="eastAsia"/>
          <w:szCs w:val="21"/>
        </w:rPr>
      </w:pPr>
      <w:r w:rsidRPr="00A2111E">
        <w:rPr>
          <w:rFonts w:ascii="宋体" w:hAnsi="宋体" w:cs="Arial Unicode MS" w:hint="eastAsia"/>
          <w:szCs w:val="21"/>
        </w:rPr>
        <w:t>风险提示：基金管理人承诺以诚实信用、勤勉尽责的原则管理和运用基金资产，但不保证基金一定盈利，也不保证最低收益。</w:t>
      </w:r>
      <w:r w:rsidR="009E2702" w:rsidRPr="00A2111E">
        <w:rPr>
          <w:rFonts w:ascii="宋体" w:hAnsi="宋体" w:cs="Arial Unicode MS" w:hint="eastAsia"/>
          <w:szCs w:val="21"/>
        </w:rPr>
        <w:t>投资者购买货币市场基金并不等于将资金作为存款存放在银行或者存款类金融机构。</w:t>
      </w:r>
      <w:r w:rsidRPr="00A2111E">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D4FB7" w:rsidRPr="00A2111E" w:rsidRDefault="003232B6" w:rsidP="003232B6">
      <w:pPr>
        <w:spacing w:line="360" w:lineRule="auto"/>
        <w:ind w:firstLineChars="200" w:firstLine="420"/>
        <w:jc w:val="left"/>
        <w:rPr>
          <w:rStyle w:val="HTML2"/>
          <w:rFonts w:cs="Arial Unicode MS"/>
          <w:sz w:val="21"/>
          <w:szCs w:val="21"/>
        </w:rPr>
      </w:pPr>
      <w:r w:rsidRPr="00A2111E">
        <w:rPr>
          <w:rFonts w:ascii="宋体" w:hAnsi="宋体" w:cs="Arial Unicode MS" w:hint="eastAsia"/>
          <w:szCs w:val="21"/>
        </w:rPr>
        <w:t>特此公告。</w:t>
      </w:r>
    </w:p>
    <w:p w:rsidR="006D4FB7" w:rsidRPr="00A2111E" w:rsidRDefault="006D4FB7">
      <w:pPr>
        <w:spacing w:line="360" w:lineRule="auto"/>
        <w:ind w:firstLineChars="200" w:firstLine="420"/>
        <w:jc w:val="right"/>
        <w:rPr>
          <w:rStyle w:val="HTML2"/>
          <w:rFonts w:cs="Arial Unicode MS"/>
          <w:sz w:val="21"/>
          <w:szCs w:val="21"/>
        </w:rPr>
      </w:pPr>
      <w:r w:rsidRPr="00A2111E">
        <w:rPr>
          <w:rStyle w:val="HTML2"/>
          <w:rFonts w:cs="Arial Unicode MS"/>
          <w:sz w:val="21"/>
          <w:szCs w:val="21"/>
        </w:rPr>
        <w:t>易方达基金管理有限公司</w:t>
      </w:r>
    </w:p>
    <w:p w:rsidR="006D4FB7" w:rsidRPr="00A2111E" w:rsidRDefault="006D4FB7">
      <w:pPr>
        <w:spacing w:line="360" w:lineRule="auto"/>
        <w:ind w:firstLineChars="200" w:firstLine="420"/>
        <w:jc w:val="right"/>
        <w:rPr>
          <w:rFonts w:ascii="宋体" w:hAnsi="宋体"/>
          <w:szCs w:val="21"/>
        </w:rPr>
      </w:pPr>
      <w:r w:rsidRPr="00A2111E">
        <w:rPr>
          <w:rStyle w:val="HTML2"/>
          <w:rFonts w:cs="Arial Unicode MS"/>
          <w:sz w:val="21"/>
          <w:szCs w:val="21"/>
        </w:rPr>
        <w:t>2020年</w:t>
      </w:r>
      <w:r w:rsidR="000B6A43" w:rsidRPr="00A2111E">
        <w:rPr>
          <w:rStyle w:val="HTML2"/>
          <w:rFonts w:cs="Arial Unicode MS"/>
          <w:sz w:val="21"/>
          <w:szCs w:val="21"/>
        </w:rPr>
        <w:t>8月</w:t>
      </w:r>
      <w:r w:rsidR="00D734EB" w:rsidRPr="00A2111E">
        <w:rPr>
          <w:rStyle w:val="HTML2"/>
          <w:rFonts w:cs="Arial Unicode MS"/>
          <w:sz w:val="21"/>
          <w:szCs w:val="21"/>
        </w:rPr>
        <w:t>24日</w:t>
      </w:r>
    </w:p>
    <w:sectPr w:rsidR="006D4FB7" w:rsidRPr="00A2111E">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5C" w:rsidRDefault="00203F5C" w:rsidP="00A25D29">
      <w:r>
        <w:separator/>
      </w:r>
    </w:p>
  </w:endnote>
  <w:endnote w:type="continuationSeparator" w:id="0">
    <w:p w:rsidR="00203F5C" w:rsidRDefault="00203F5C" w:rsidP="00A2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ontAwesome">
    <w:altName w:val="Segoe Print"/>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5C" w:rsidRDefault="00203F5C" w:rsidP="00A25D29">
      <w:r>
        <w:separator/>
      </w:r>
    </w:p>
  </w:footnote>
  <w:footnote w:type="continuationSeparator" w:id="0">
    <w:p w:rsidR="00203F5C" w:rsidRDefault="00203F5C" w:rsidP="00A25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BEB"/>
    <w:rsid w:val="00012A79"/>
    <w:rsid w:val="0001362B"/>
    <w:rsid w:val="00020481"/>
    <w:rsid w:val="0002698E"/>
    <w:rsid w:val="00026FB5"/>
    <w:rsid w:val="0003027C"/>
    <w:rsid w:val="000336E9"/>
    <w:rsid w:val="00034C84"/>
    <w:rsid w:val="000420EE"/>
    <w:rsid w:val="00042473"/>
    <w:rsid w:val="000425B7"/>
    <w:rsid w:val="000450AD"/>
    <w:rsid w:val="00045824"/>
    <w:rsid w:val="0005739E"/>
    <w:rsid w:val="000574F7"/>
    <w:rsid w:val="000618A7"/>
    <w:rsid w:val="00061984"/>
    <w:rsid w:val="0006316B"/>
    <w:rsid w:val="00065742"/>
    <w:rsid w:val="00065C47"/>
    <w:rsid w:val="00071F41"/>
    <w:rsid w:val="00077FD2"/>
    <w:rsid w:val="00085665"/>
    <w:rsid w:val="0009279F"/>
    <w:rsid w:val="000A2A82"/>
    <w:rsid w:val="000A7556"/>
    <w:rsid w:val="000B1675"/>
    <w:rsid w:val="000B64A0"/>
    <w:rsid w:val="000B6A43"/>
    <w:rsid w:val="000C5867"/>
    <w:rsid w:val="000C62A5"/>
    <w:rsid w:val="000C7CF7"/>
    <w:rsid w:val="000E6C1D"/>
    <w:rsid w:val="000E7994"/>
    <w:rsid w:val="000E7A96"/>
    <w:rsid w:val="000F04D6"/>
    <w:rsid w:val="000F181A"/>
    <w:rsid w:val="000F74EE"/>
    <w:rsid w:val="00100109"/>
    <w:rsid w:val="0010019B"/>
    <w:rsid w:val="00104523"/>
    <w:rsid w:val="00106A7F"/>
    <w:rsid w:val="0013045C"/>
    <w:rsid w:val="00137948"/>
    <w:rsid w:val="0013795E"/>
    <w:rsid w:val="00147369"/>
    <w:rsid w:val="00152BED"/>
    <w:rsid w:val="00154E6C"/>
    <w:rsid w:val="00156FB8"/>
    <w:rsid w:val="00161457"/>
    <w:rsid w:val="00166342"/>
    <w:rsid w:val="0017263A"/>
    <w:rsid w:val="001726FD"/>
    <w:rsid w:val="00172A27"/>
    <w:rsid w:val="001739B9"/>
    <w:rsid w:val="00180B27"/>
    <w:rsid w:val="00181222"/>
    <w:rsid w:val="001829A0"/>
    <w:rsid w:val="00190496"/>
    <w:rsid w:val="001917C9"/>
    <w:rsid w:val="00193894"/>
    <w:rsid w:val="00197EC4"/>
    <w:rsid w:val="001A36F2"/>
    <w:rsid w:val="001A49AB"/>
    <w:rsid w:val="001A7F62"/>
    <w:rsid w:val="001B0562"/>
    <w:rsid w:val="001B5E27"/>
    <w:rsid w:val="001C136F"/>
    <w:rsid w:val="001C1DA9"/>
    <w:rsid w:val="001C546F"/>
    <w:rsid w:val="001C6232"/>
    <w:rsid w:val="001D24B7"/>
    <w:rsid w:val="001D3807"/>
    <w:rsid w:val="001E1154"/>
    <w:rsid w:val="001E3DEB"/>
    <w:rsid w:val="001E431B"/>
    <w:rsid w:val="001F5748"/>
    <w:rsid w:val="001F705A"/>
    <w:rsid w:val="001F70B3"/>
    <w:rsid w:val="001F7B89"/>
    <w:rsid w:val="001F7E9B"/>
    <w:rsid w:val="00203F5C"/>
    <w:rsid w:val="00205E2B"/>
    <w:rsid w:val="0021725C"/>
    <w:rsid w:val="0022437C"/>
    <w:rsid w:val="002301F8"/>
    <w:rsid w:val="0023319A"/>
    <w:rsid w:val="00237CA1"/>
    <w:rsid w:val="00241C62"/>
    <w:rsid w:val="002430FB"/>
    <w:rsid w:val="0024444C"/>
    <w:rsid w:val="00245816"/>
    <w:rsid w:val="002477A3"/>
    <w:rsid w:val="002538BF"/>
    <w:rsid w:val="00261D64"/>
    <w:rsid w:val="00263557"/>
    <w:rsid w:val="00282C75"/>
    <w:rsid w:val="00290B74"/>
    <w:rsid w:val="002910FF"/>
    <w:rsid w:val="002A2D84"/>
    <w:rsid w:val="002B0AFC"/>
    <w:rsid w:val="002B0B6D"/>
    <w:rsid w:val="002B2B5D"/>
    <w:rsid w:val="002B550C"/>
    <w:rsid w:val="002B76AF"/>
    <w:rsid w:val="002C557A"/>
    <w:rsid w:val="002C7953"/>
    <w:rsid w:val="002D0A37"/>
    <w:rsid w:val="002D190A"/>
    <w:rsid w:val="002D1B6F"/>
    <w:rsid w:val="002D370F"/>
    <w:rsid w:val="002D47AE"/>
    <w:rsid w:val="002D67C2"/>
    <w:rsid w:val="002E107E"/>
    <w:rsid w:val="002E69B0"/>
    <w:rsid w:val="002E6E06"/>
    <w:rsid w:val="003003FE"/>
    <w:rsid w:val="00300D4E"/>
    <w:rsid w:val="003118B6"/>
    <w:rsid w:val="00314458"/>
    <w:rsid w:val="00320FCC"/>
    <w:rsid w:val="00322F2D"/>
    <w:rsid w:val="003232B6"/>
    <w:rsid w:val="0032653E"/>
    <w:rsid w:val="00332E72"/>
    <w:rsid w:val="00341253"/>
    <w:rsid w:val="003467C7"/>
    <w:rsid w:val="003475D7"/>
    <w:rsid w:val="00354A80"/>
    <w:rsid w:val="0035777D"/>
    <w:rsid w:val="003611B8"/>
    <w:rsid w:val="00365584"/>
    <w:rsid w:val="00365ED2"/>
    <w:rsid w:val="00370E67"/>
    <w:rsid w:val="00372159"/>
    <w:rsid w:val="0037631C"/>
    <w:rsid w:val="00376B77"/>
    <w:rsid w:val="00376F93"/>
    <w:rsid w:val="00377903"/>
    <w:rsid w:val="00377FA8"/>
    <w:rsid w:val="00384770"/>
    <w:rsid w:val="00385D85"/>
    <w:rsid w:val="00390FD0"/>
    <w:rsid w:val="00392ECE"/>
    <w:rsid w:val="003A028C"/>
    <w:rsid w:val="003A2FA0"/>
    <w:rsid w:val="003A6648"/>
    <w:rsid w:val="003B0F41"/>
    <w:rsid w:val="003B103F"/>
    <w:rsid w:val="003B1A5A"/>
    <w:rsid w:val="003B2C85"/>
    <w:rsid w:val="003B6D17"/>
    <w:rsid w:val="003C5479"/>
    <w:rsid w:val="003C5B0D"/>
    <w:rsid w:val="003D0D98"/>
    <w:rsid w:val="003D2328"/>
    <w:rsid w:val="003D3E54"/>
    <w:rsid w:val="003D6DCD"/>
    <w:rsid w:val="003E7586"/>
    <w:rsid w:val="003F1DEC"/>
    <w:rsid w:val="003F2724"/>
    <w:rsid w:val="003F2ACA"/>
    <w:rsid w:val="003F2B3C"/>
    <w:rsid w:val="00400C5F"/>
    <w:rsid w:val="00400DC6"/>
    <w:rsid w:val="00403963"/>
    <w:rsid w:val="00407FED"/>
    <w:rsid w:val="00413C91"/>
    <w:rsid w:val="00416471"/>
    <w:rsid w:val="00417DF0"/>
    <w:rsid w:val="0042049A"/>
    <w:rsid w:val="00426756"/>
    <w:rsid w:val="004324BA"/>
    <w:rsid w:val="004332B9"/>
    <w:rsid w:val="0044784F"/>
    <w:rsid w:val="00450316"/>
    <w:rsid w:val="00456D85"/>
    <w:rsid w:val="0047192D"/>
    <w:rsid w:val="00472855"/>
    <w:rsid w:val="00483135"/>
    <w:rsid w:val="00484BBC"/>
    <w:rsid w:val="00484E80"/>
    <w:rsid w:val="00486015"/>
    <w:rsid w:val="0049097C"/>
    <w:rsid w:val="00493B3D"/>
    <w:rsid w:val="004B04CC"/>
    <w:rsid w:val="004B1A30"/>
    <w:rsid w:val="004B51C9"/>
    <w:rsid w:val="004B733A"/>
    <w:rsid w:val="004C2E7C"/>
    <w:rsid w:val="004C407B"/>
    <w:rsid w:val="004C6C54"/>
    <w:rsid w:val="004D1093"/>
    <w:rsid w:val="004D257A"/>
    <w:rsid w:val="004D646B"/>
    <w:rsid w:val="004E1F92"/>
    <w:rsid w:val="004E20E7"/>
    <w:rsid w:val="004E6385"/>
    <w:rsid w:val="005001ED"/>
    <w:rsid w:val="005015A2"/>
    <w:rsid w:val="00502F19"/>
    <w:rsid w:val="0050352F"/>
    <w:rsid w:val="00503CDE"/>
    <w:rsid w:val="005040D4"/>
    <w:rsid w:val="00505C01"/>
    <w:rsid w:val="00511241"/>
    <w:rsid w:val="0052264B"/>
    <w:rsid w:val="00524DF0"/>
    <w:rsid w:val="005261EF"/>
    <w:rsid w:val="0052740B"/>
    <w:rsid w:val="005274D8"/>
    <w:rsid w:val="005303B6"/>
    <w:rsid w:val="00531F4C"/>
    <w:rsid w:val="005342A9"/>
    <w:rsid w:val="005400C8"/>
    <w:rsid w:val="00540E51"/>
    <w:rsid w:val="00551B56"/>
    <w:rsid w:val="00551F0C"/>
    <w:rsid w:val="00563609"/>
    <w:rsid w:val="0056558C"/>
    <w:rsid w:val="00565977"/>
    <w:rsid w:val="00565ACB"/>
    <w:rsid w:val="00566891"/>
    <w:rsid w:val="00573D49"/>
    <w:rsid w:val="00577685"/>
    <w:rsid w:val="00581DDC"/>
    <w:rsid w:val="00584430"/>
    <w:rsid w:val="005865E6"/>
    <w:rsid w:val="00592D18"/>
    <w:rsid w:val="00594908"/>
    <w:rsid w:val="005A63BE"/>
    <w:rsid w:val="005B5C73"/>
    <w:rsid w:val="005B7DD0"/>
    <w:rsid w:val="005C2585"/>
    <w:rsid w:val="005C4BB4"/>
    <w:rsid w:val="005D2223"/>
    <w:rsid w:val="005D67BE"/>
    <w:rsid w:val="005E3C3E"/>
    <w:rsid w:val="005E4BE7"/>
    <w:rsid w:val="005E56F7"/>
    <w:rsid w:val="005E7BDE"/>
    <w:rsid w:val="00604812"/>
    <w:rsid w:val="00605C2A"/>
    <w:rsid w:val="00606463"/>
    <w:rsid w:val="00607E71"/>
    <w:rsid w:val="00610E57"/>
    <w:rsid w:val="0061316C"/>
    <w:rsid w:val="00613471"/>
    <w:rsid w:val="00616267"/>
    <w:rsid w:val="00617A9C"/>
    <w:rsid w:val="00626D66"/>
    <w:rsid w:val="00626DB2"/>
    <w:rsid w:val="00630B0E"/>
    <w:rsid w:val="00630CF5"/>
    <w:rsid w:val="006316E7"/>
    <w:rsid w:val="006338C6"/>
    <w:rsid w:val="00640F6D"/>
    <w:rsid w:val="00642115"/>
    <w:rsid w:val="00654F7C"/>
    <w:rsid w:val="0065669E"/>
    <w:rsid w:val="00665439"/>
    <w:rsid w:val="00665F35"/>
    <w:rsid w:val="0067109F"/>
    <w:rsid w:val="00676072"/>
    <w:rsid w:val="006850AA"/>
    <w:rsid w:val="006918F4"/>
    <w:rsid w:val="00694733"/>
    <w:rsid w:val="006953CD"/>
    <w:rsid w:val="00696125"/>
    <w:rsid w:val="006A148D"/>
    <w:rsid w:val="006A3C09"/>
    <w:rsid w:val="006B5F05"/>
    <w:rsid w:val="006C2224"/>
    <w:rsid w:val="006C2D6D"/>
    <w:rsid w:val="006C474B"/>
    <w:rsid w:val="006D26AF"/>
    <w:rsid w:val="006D4FB7"/>
    <w:rsid w:val="006D637F"/>
    <w:rsid w:val="006D6C59"/>
    <w:rsid w:val="006E126D"/>
    <w:rsid w:val="006E18BC"/>
    <w:rsid w:val="006E4CDC"/>
    <w:rsid w:val="006E7D60"/>
    <w:rsid w:val="006F2475"/>
    <w:rsid w:val="006F48A2"/>
    <w:rsid w:val="006F5912"/>
    <w:rsid w:val="006F70C9"/>
    <w:rsid w:val="007068C9"/>
    <w:rsid w:val="00714CA7"/>
    <w:rsid w:val="0071749F"/>
    <w:rsid w:val="0072234F"/>
    <w:rsid w:val="0072361F"/>
    <w:rsid w:val="00726C2A"/>
    <w:rsid w:val="00732472"/>
    <w:rsid w:val="007331F7"/>
    <w:rsid w:val="007336D5"/>
    <w:rsid w:val="007343F1"/>
    <w:rsid w:val="00734CCC"/>
    <w:rsid w:val="00737E76"/>
    <w:rsid w:val="0074222A"/>
    <w:rsid w:val="0074396E"/>
    <w:rsid w:val="00753361"/>
    <w:rsid w:val="00753EBD"/>
    <w:rsid w:val="007553AC"/>
    <w:rsid w:val="007651A0"/>
    <w:rsid w:val="00765ED0"/>
    <w:rsid w:val="00767B2D"/>
    <w:rsid w:val="00771CB3"/>
    <w:rsid w:val="0077268C"/>
    <w:rsid w:val="0077567B"/>
    <w:rsid w:val="00780376"/>
    <w:rsid w:val="00791FE5"/>
    <w:rsid w:val="00792646"/>
    <w:rsid w:val="00795DD1"/>
    <w:rsid w:val="007A1046"/>
    <w:rsid w:val="007A5789"/>
    <w:rsid w:val="007A723A"/>
    <w:rsid w:val="007B05B6"/>
    <w:rsid w:val="007C1874"/>
    <w:rsid w:val="007C742F"/>
    <w:rsid w:val="007D19F5"/>
    <w:rsid w:val="007D5E65"/>
    <w:rsid w:val="007D68C6"/>
    <w:rsid w:val="007D7103"/>
    <w:rsid w:val="007E0727"/>
    <w:rsid w:val="007E585A"/>
    <w:rsid w:val="007F1022"/>
    <w:rsid w:val="007F2115"/>
    <w:rsid w:val="007F2F2D"/>
    <w:rsid w:val="007F58A4"/>
    <w:rsid w:val="00802D80"/>
    <w:rsid w:val="00802E49"/>
    <w:rsid w:val="008035F7"/>
    <w:rsid w:val="00824324"/>
    <w:rsid w:val="0082644D"/>
    <w:rsid w:val="0082688A"/>
    <w:rsid w:val="00826DDC"/>
    <w:rsid w:val="008276F5"/>
    <w:rsid w:val="0083663B"/>
    <w:rsid w:val="00837FBC"/>
    <w:rsid w:val="00844438"/>
    <w:rsid w:val="008449B1"/>
    <w:rsid w:val="00844ED9"/>
    <w:rsid w:val="0085511F"/>
    <w:rsid w:val="00861E02"/>
    <w:rsid w:val="00872322"/>
    <w:rsid w:val="00872C7E"/>
    <w:rsid w:val="00881365"/>
    <w:rsid w:val="00881825"/>
    <w:rsid w:val="00883FED"/>
    <w:rsid w:val="00891534"/>
    <w:rsid w:val="0089318F"/>
    <w:rsid w:val="008974DA"/>
    <w:rsid w:val="008A2D6F"/>
    <w:rsid w:val="008A35C5"/>
    <w:rsid w:val="008B6D67"/>
    <w:rsid w:val="008C2C98"/>
    <w:rsid w:val="008C4978"/>
    <w:rsid w:val="008C679D"/>
    <w:rsid w:val="008C7304"/>
    <w:rsid w:val="008D1633"/>
    <w:rsid w:val="008D226E"/>
    <w:rsid w:val="008D5220"/>
    <w:rsid w:val="008D6759"/>
    <w:rsid w:val="008D7694"/>
    <w:rsid w:val="008E1B6C"/>
    <w:rsid w:val="008E50BB"/>
    <w:rsid w:val="008F47B7"/>
    <w:rsid w:val="008F5538"/>
    <w:rsid w:val="009048A7"/>
    <w:rsid w:val="0091053C"/>
    <w:rsid w:val="009166F8"/>
    <w:rsid w:val="00923C43"/>
    <w:rsid w:val="009240F0"/>
    <w:rsid w:val="009257A3"/>
    <w:rsid w:val="0092735D"/>
    <w:rsid w:val="00932C9C"/>
    <w:rsid w:val="009333EE"/>
    <w:rsid w:val="0095142B"/>
    <w:rsid w:val="00951F7D"/>
    <w:rsid w:val="00955E4F"/>
    <w:rsid w:val="00960147"/>
    <w:rsid w:val="0097317C"/>
    <w:rsid w:val="00974A39"/>
    <w:rsid w:val="00974C0D"/>
    <w:rsid w:val="009812AE"/>
    <w:rsid w:val="009856FF"/>
    <w:rsid w:val="00990420"/>
    <w:rsid w:val="00990CF9"/>
    <w:rsid w:val="00995FDE"/>
    <w:rsid w:val="0099603F"/>
    <w:rsid w:val="009A2101"/>
    <w:rsid w:val="009A2843"/>
    <w:rsid w:val="009B3EC7"/>
    <w:rsid w:val="009C2935"/>
    <w:rsid w:val="009C3F60"/>
    <w:rsid w:val="009C43D0"/>
    <w:rsid w:val="009C774A"/>
    <w:rsid w:val="009D59E2"/>
    <w:rsid w:val="009E2702"/>
    <w:rsid w:val="009E33E3"/>
    <w:rsid w:val="009E7966"/>
    <w:rsid w:val="009F1256"/>
    <w:rsid w:val="009F46DC"/>
    <w:rsid w:val="009F76E2"/>
    <w:rsid w:val="00A00A34"/>
    <w:rsid w:val="00A00C2F"/>
    <w:rsid w:val="00A0119B"/>
    <w:rsid w:val="00A046AC"/>
    <w:rsid w:val="00A05705"/>
    <w:rsid w:val="00A0610A"/>
    <w:rsid w:val="00A07391"/>
    <w:rsid w:val="00A077FA"/>
    <w:rsid w:val="00A1406E"/>
    <w:rsid w:val="00A2111E"/>
    <w:rsid w:val="00A25D29"/>
    <w:rsid w:val="00A2737A"/>
    <w:rsid w:val="00A3039E"/>
    <w:rsid w:val="00A374DE"/>
    <w:rsid w:val="00A37F4D"/>
    <w:rsid w:val="00A436A7"/>
    <w:rsid w:val="00A45C2C"/>
    <w:rsid w:val="00A469B8"/>
    <w:rsid w:val="00A51986"/>
    <w:rsid w:val="00A51AFE"/>
    <w:rsid w:val="00A51B8C"/>
    <w:rsid w:val="00A530AA"/>
    <w:rsid w:val="00A5499A"/>
    <w:rsid w:val="00A56769"/>
    <w:rsid w:val="00A56EB0"/>
    <w:rsid w:val="00A62224"/>
    <w:rsid w:val="00A63A42"/>
    <w:rsid w:val="00A658BC"/>
    <w:rsid w:val="00A658E4"/>
    <w:rsid w:val="00A65C95"/>
    <w:rsid w:val="00A672CB"/>
    <w:rsid w:val="00A76179"/>
    <w:rsid w:val="00A776EE"/>
    <w:rsid w:val="00A87A7B"/>
    <w:rsid w:val="00AA104E"/>
    <w:rsid w:val="00AA7920"/>
    <w:rsid w:val="00AB1A86"/>
    <w:rsid w:val="00AB7289"/>
    <w:rsid w:val="00AB7684"/>
    <w:rsid w:val="00AB77B1"/>
    <w:rsid w:val="00AC125D"/>
    <w:rsid w:val="00AC292F"/>
    <w:rsid w:val="00AC3720"/>
    <w:rsid w:val="00AD01B4"/>
    <w:rsid w:val="00AD052F"/>
    <w:rsid w:val="00AD40E6"/>
    <w:rsid w:val="00AD4D38"/>
    <w:rsid w:val="00AE01C0"/>
    <w:rsid w:val="00AE5656"/>
    <w:rsid w:val="00AF5A6D"/>
    <w:rsid w:val="00AF6246"/>
    <w:rsid w:val="00B017A5"/>
    <w:rsid w:val="00B13B7E"/>
    <w:rsid w:val="00B14BC7"/>
    <w:rsid w:val="00B1750A"/>
    <w:rsid w:val="00B251AB"/>
    <w:rsid w:val="00B26169"/>
    <w:rsid w:val="00B43642"/>
    <w:rsid w:val="00B52D02"/>
    <w:rsid w:val="00B53671"/>
    <w:rsid w:val="00B624FF"/>
    <w:rsid w:val="00B65C8F"/>
    <w:rsid w:val="00B719FE"/>
    <w:rsid w:val="00B722AC"/>
    <w:rsid w:val="00B72518"/>
    <w:rsid w:val="00B81C4B"/>
    <w:rsid w:val="00B81F10"/>
    <w:rsid w:val="00B86F8C"/>
    <w:rsid w:val="00B87027"/>
    <w:rsid w:val="00B9112E"/>
    <w:rsid w:val="00B96827"/>
    <w:rsid w:val="00BA2A83"/>
    <w:rsid w:val="00BA3587"/>
    <w:rsid w:val="00BA546D"/>
    <w:rsid w:val="00BB34F4"/>
    <w:rsid w:val="00BB7991"/>
    <w:rsid w:val="00BC0258"/>
    <w:rsid w:val="00BC5343"/>
    <w:rsid w:val="00BD3B67"/>
    <w:rsid w:val="00BD6E07"/>
    <w:rsid w:val="00BD7416"/>
    <w:rsid w:val="00BD7443"/>
    <w:rsid w:val="00BE44E3"/>
    <w:rsid w:val="00BE6BB3"/>
    <w:rsid w:val="00BF0B71"/>
    <w:rsid w:val="00BF404B"/>
    <w:rsid w:val="00BF4475"/>
    <w:rsid w:val="00BF5FA1"/>
    <w:rsid w:val="00BF7B9C"/>
    <w:rsid w:val="00C26E44"/>
    <w:rsid w:val="00C27583"/>
    <w:rsid w:val="00C32A41"/>
    <w:rsid w:val="00C4191F"/>
    <w:rsid w:val="00C441BE"/>
    <w:rsid w:val="00C479D5"/>
    <w:rsid w:val="00C5137A"/>
    <w:rsid w:val="00C524A8"/>
    <w:rsid w:val="00C53A6C"/>
    <w:rsid w:val="00C61FDD"/>
    <w:rsid w:val="00C62BFE"/>
    <w:rsid w:val="00C73489"/>
    <w:rsid w:val="00C82BFC"/>
    <w:rsid w:val="00C8450E"/>
    <w:rsid w:val="00C90DE9"/>
    <w:rsid w:val="00C97BE6"/>
    <w:rsid w:val="00CA0F52"/>
    <w:rsid w:val="00CA1865"/>
    <w:rsid w:val="00CA1CF6"/>
    <w:rsid w:val="00CB21E7"/>
    <w:rsid w:val="00CB2536"/>
    <w:rsid w:val="00CB2A9D"/>
    <w:rsid w:val="00CB32B9"/>
    <w:rsid w:val="00CB43D1"/>
    <w:rsid w:val="00CB4A0D"/>
    <w:rsid w:val="00CC3581"/>
    <w:rsid w:val="00CC5A68"/>
    <w:rsid w:val="00CE0B91"/>
    <w:rsid w:val="00CE2704"/>
    <w:rsid w:val="00CF2735"/>
    <w:rsid w:val="00CF3157"/>
    <w:rsid w:val="00D0066E"/>
    <w:rsid w:val="00D035B6"/>
    <w:rsid w:val="00D04212"/>
    <w:rsid w:val="00D07D38"/>
    <w:rsid w:val="00D1303F"/>
    <w:rsid w:val="00D14A82"/>
    <w:rsid w:val="00D1781A"/>
    <w:rsid w:val="00D24F01"/>
    <w:rsid w:val="00D30B54"/>
    <w:rsid w:val="00D33FDA"/>
    <w:rsid w:val="00D35EDD"/>
    <w:rsid w:val="00D45622"/>
    <w:rsid w:val="00D57EA4"/>
    <w:rsid w:val="00D62024"/>
    <w:rsid w:val="00D62444"/>
    <w:rsid w:val="00D62BCF"/>
    <w:rsid w:val="00D63A8A"/>
    <w:rsid w:val="00D72E54"/>
    <w:rsid w:val="00D734EB"/>
    <w:rsid w:val="00D744EB"/>
    <w:rsid w:val="00D745F3"/>
    <w:rsid w:val="00D7523D"/>
    <w:rsid w:val="00D754EA"/>
    <w:rsid w:val="00D80435"/>
    <w:rsid w:val="00D835B6"/>
    <w:rsid w:val="00D879D8"/>
    <w:rsid w:val="00D87FEE"/>
    <w:rsid w:val="00DA078A"/>
    <w:rsid w:val="00DA23CA"/>
    <w:rsid w:val="00DA5D8F"/>
    <w:rsid w:val="00DB7CC0"/>
    <w:rsid w:val="00DC63CC"/>
    <w:rsid w:val="00DC6F47"/>
    <w:rsid w:val="00DD0EB7"/>
    <w:rsid w:val="00DD4ACB"/>
    <w:rsid w:val="00DE2649"/>
    <w:rsid w:val="00DE2673"/>
    <w:rsid w:val="00DE7794"/>
    <w:rsid w:val="00E0500A"/>
    <w:rsid w:val="00E11FAC"/>
    <w:rsid w:val="00E15215"/>
    <w:rsid w:val="00E24E73"/>
    <w:rsid w:val="00E27408"/>
    <w:rsid w:val="00E331CE"/>
    <w:rsid w:val="00E41046"/>
    <w:rsid w:val="00E46728"/>
    <w:rsid w:val="00E5010E"/>
    <w:rsid w:val="00E55413"/>
    <w:rsid w:val="00E56544"/>
    <w:rsid w:val="00E56763"/>
    <w:rsid w:val="00E57297"/>
    <w:rsid w:val="00E574AA"/>
    <w:rsid w:val="00E823F8"/>
    <w:rsid w:val="00E82D20"/>
    <w:rsid w:val="00E83FFD"/>
    <w:rsid w:val="00E84402"/>
    <w:rsid w:val="00E8555F"/>
    <w:rsid w:val="00E903ED"/>
    <w:rsid w:val="00E91A4F"/>
    <w:rsid w:val="00E92067"/>
    <w:rsid w:val="00E97C32"/>
    <w:rsid w:val="00EA3CEC"/>
    <w:rsid w:val="00EB2B48"/>
    <w:rsid w:val="00EB4AD7"/>
    <w:rsid w:val="00EB744C"/>
    <w:rsid w:val="00EC18D3"/>
    <w:rsid w:val="00EC29A4"/>
    <w:rsid w:val="00EC4456"/>
    <w:rsid w:val="00EC7B52"/>
    <w:rsid w:val="00ED1281"/>
    <w:rsid w:val="00ED1BAE"/>
    <w:rsid w:val="00ED3F2C"/>
    <w:rsid w:val="00ED54AE"/>
    <w:rsid w:val="00EE13CC"/>
    <w:rsid w:val="00EE52D3"/>
    <w:rsid w:val="00EE5BDB"/>
    <w:rsid w:val="00EE7FAB"/>
    <w:rsid w:val="00EF04A9"/>
    <w:rsid w:val="00EF2668"/>
    <w:rsid w:val="00EF6865"/>
    <w:rsid w:val="00F02463"/>
    <w:rsid w:val="00F06C5C"/>
    <w:rsid w:val="00F137BF"/>
    <w:rsid w:val="00F169B5"/>
    <w:rsid w:val="00F2059A"/>
    <w:rsid w:val="00F209DE"/>
    <w:rsid w:val="00F23C9D"/>
    <w:rsid w:val="00F35FF3"/>
    <w:rsid w:val="00F3619F"/>
    <w:rsid w:val="00F37D8B"/>
    <w:rsid w:val="00F44AC6"/>
    <w:rsid w:val="00F51A91"/>
    <w:rsid w:val="00F51C3F"/>
    <w:rsid w:val="00F525EA"/>
    <w:rsid w:val="00F52F4B"/>
    <w:rsid w:val="00F57466"/>
    <w:rsid w:val="00F62862"/>
    <w:rsid w:val="00F76913"/>
    <w:rsid w:val="00F80502"/>
    <w:rsid w:val="00F81483"/>
    <w:rsid w:val="00F90B86"/>
    <w:rsid w:val="00F913B8"/>
    <w:rsid w:val="00F92A02"/>
    <w:rsid w:val="00FB03FE"/>
    <w:rsid w:val="00FB4466"/>
    <w:rsid w:val="00FC26AC"/>
    <w:rsid w:val="00FC471C"/>
    <w:rsid w:val="00FC6A16"/>
    <w:rsid w:val="00FC7E9D"/>
    <w:rsid w:val="00FD45B5"/>
    <w:rsid w:val="00FE6E31"/>
    <w:rsid w:val="00FF43C1"/>
    <w:rsid w:val="00FF5718"/>
    <w:rsid w:val="00FF64B0"/>
    <w:rsid w:val="0D6B3F8E"/>
    <w:rsid w:val="15612114"/>
    <w:rsid w:val="16815279"/>
    <w:rsid w:val="17C4283F"/>
    <w:rsid w:val="1AA44A44"/>
    <w:rsid w:val="1FFE00EB"/>
    <w:rsid w:val="26635B60"/>
    <w:rsid w:val="281946E5"/>
    <w:rsid w:val="2B722AF4"/>
    <w:rsid w:val="37DF7C0C"/>
    <w:rsid w:val="3A816CBC"/>
    <w:rsid w:val="3D8E692A"/>
    <w:rsid w:val="4186648C"/>
    <w:rsid w:val="42FB4E6F"/>
    <w:rsid w:val="48BE7862"/>
    <w:rsid w:val="56305D30"/>
    <w:rsid w:val="56B8492A"/>
    <w:rsid w:val="5D307FA3"/>
    <w:rsid w:val="5DA36992"/>
    <w:rsid w:val="71D91494"/>
    <w:rsid w:val="7243794D"/>
    <w:rsid w:val="787D5BF6"/>
    <w:rsid w:val="7C5750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FollowedHyperlink" w:semiHidden="0" w:uiPriority="99"/>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HTML Typewriter" w:semiHidden="0" w:uiPriority="99" w:unhideWhenUsed="0" w:qFormat="1"/>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kern w:val="2"/>
      <w:sz w:val="21"/>
      <w:szCs w:val="24"/>
    </w:rPr>
  </w:style>
  <w:style w:type="character" w:styleId="a4">
    <w:name w:val="Hyperlink"/>
    <w:uiPriority w:val="99"/>
    <w:rPr>
      <w:color w:val="000000"/>
      <w:u w:val="none"/>
    </w:rPr>
  </w:style>
  <w:style w:type="character" w:styleId="a5">
    <w:name w:val="访问过的超链接"/>
    <w:uiPriority w:val="99"/>
    <w:unhideWhenUsed/>
    <w:rPr>
      <w:color w:val="428BCA"/>
      <w:u w:val="none"/>
    </w:rPr>
  </w:style>
  <w:style w:type="character" w:customStyle="1" w:styleId="Char0">
    <w:name w:val="批注主题 Char"/>
    <w:link w:val="a6"/>
    <w:rPr>
      <w:b/>
      <w:bCs/>
      <w:kern w:val="2"/>
      <w:sz w:val="21"/>
      <w:szCs w:val="24"/>
    </w:rPr>
  </w:style>
  <w:style w:type="character" w:styleId="HTML">
    <w:name w:val="HTML Sample"/>
    <w:unhideWhenUsed/>
    <w:rPr>
      <w:rFonts w:ascii="Consolas" w:eastAsia="Consolas" w:hAnsi="Consolas" w:cs="Consolas"/>
      <w:sz w:val="21"/>
      <w:szCs w:val="21"/>
    </w:rPr>
  </w:style>
  <w:style w:type="character" w:styleId="HTML0">
    <w:name w:val="HTML Definition"/>
    <w:unhideWhenUsed/>
    <w:rPr>
      <w:i/>
    </w:rPr>
  </w:style>
  <w:style w:type="character" w:customStyle="1" w:styleId="Char1">
    <w:name w:val="文档结构图 Char"/>
    <w:link w:val="a7"/>
    <w:semiHidden/>
    <w:rPr>
      <w:rFonts w:ascii="宋体"/>
      <w:kern w:val="2"/>
      <w:sz w:val="18"/>
      <w:szCs w:val="18"/>
    </w:rPr>
  </w:style>
  <w:style w:type="character" w:styleId="a8">
    <w:name w:val="annotation reference"/>
    <w:qFormat/>
    <w:rPr>
      <w:sz w:val="21"/>
      <w:szCs w:val="21"/>
    </w:rPr>
  </w:style>
  <w:style w:type="character" w:customStyle="1" w:styleId="Char2">
    <w:name w:val="页眉 Char"/>
    <w:link w:val="a9"/>
    <w:rPr>
      <w:rFonts w:ascii="Calibri" w:hAnsi="Calibri" w:cs="宋体"/>
      <w:sz w:val="18"/>
      <w:szCs w:val="18"/>
    </w:rPr>
  </w:style>
  <w:style w:type="character" w:styleId="HTML1">
    <w:name w:val="HTML Code"/>
    <w:unhideWhenUsed/>
    <w:rPr>
      <w:rFonts w:ascii="Consolas" w:eastAsia="Consolas" w:hAnsi="Consolas" w:cs="Consolas" w:hint="default"/>
      <w:color w:val="C7254E"/>
      <w:sz w:val="21"/>
      <w:szCs w:val="21"/>
      <w:bdr w:val="none" w:sz="0" w:space="0" w:color="auto"/>
      <w:shd w:val="clear" w:color="auto" w:fill="F9F2F4"/>
    </w:rPr>
  </w:style>
  <w:style w:type="character" w:customStyle="1" w:styleId="1Char">
    <w:name w:val="标题 1 Char"/>
    <w:link w:val="1"/>
    <w:rPr>
      <w:b/>
      <w:bCs/>
      <w:kern w:val="44"/>
      <w:sz w:val="44"/>
      <w:szCs w:val="44"/>
    </w:rPr>
  </w:style>
  <w:style w:type="character" w:styleId="aa">
    <w:name w:val="Strong"/>
    <w:uiPriority w:val="22"/>
    <w:qFormat/>
    <w:rPr>
      <w:b/>
      <w:bCs/>
    </w:rPr>
  </w:style>
  <w:style w:type="character" w:styleId="HTML2">
    <w:name w:val="HTML Typewriter"/>
    <w:uiPriority w:val="99"/>
    <w:qFormat/>
    <w:rPr>
      <w:rFonts w:ascii="宋体" w:eastAsia="宋体" w:hAnsi="宋体" w:cs="宋体"/>
      <w:sz w:val="24"/>
      <w:szCs w:val="24"/>
    </w:rPr>
  </w:style>
  <w:style w:type="character" w:customStyle="1" w:styleId="Char3">
    <w:name w:val="页脚 Char"/>
    <w:link w:val="ab"/>
    <w:rPr>
      <w:rFonts w:ascii="Calibri" w:hAnsi="Calibri" w:cs="宋体"/>
      <w:sz w:val="18"/>
      <w:szCs w:val="18"/>
    </w:rPr>
  </w:style>
  <w:style w:type="character" w:customStyle="1" w:styleId="big1">
    <w:name w:val="big1"/>
    <w:rPr>
      <w:spacing w:val="360"/>
      <w:sz w:val="22"/>
      <w:szCs w:val="22"/>
    </w:rPr>
  </w:style>
  <w:style w:type="character" w:styleId="HTML3">
    <w:name w:val="HTML Keyboard"/>
    <w:unhideWhenUsed/>
    <w:rPr>
      <w:rFonts w:ascii="Consolas" w:eastAsia="Consolas" w:hAnsi="Consolas" w:cs="Consolas" w:hint="default"/>
      <w:color w:val="FFFFFF"/>
      <w:sz w:val="21"/>
      <w:szCs w:val="21"/>
      <w:bdr w:val="none" w:sz="0" w:space="0" w:color="auto"/>
      <w:shd w:val="clear" w:color="auto" w:fill="333333"/>
    </w:rPr>
  </w:style>
  <w:style w:type="character" w:customStyle="1" w:styleId="Char4">
    <w:name w:val="批注框文本 Char"/>
    <w:link w:val="ac"/>
    <w:rPr>
      <w:kern w:val="2"/>
      <w:sz w:val="18"/>
      <w:szCs w:val="18"/>
    </w:rPr>
  </w:style>
  <w:style w:type="character" w:customStyle="1" w:styleId="button">
    <w:name w:val="button"/>
    <w:rPr>
      <w:bdr w:val="none" w:sz="0" w:space="0" w:color="auto"/>
    </w:rPr>
  </w:style>
  <w:style w:type="character" w:customStyle="1" w:styleId="before2">
    <w:name w:val="before2"/>
    <w:rPr>
      <w:rFonts w:ascii="FontAwesome" w:eastAsia="FontAwesome" w:hAnsi="FontAwesome" w:cs="FontAwesome" w:hint="default"/>
      <w:color w:val="888888"/>
      <w:sz w:val="18"/>
      <w:szCs w:val="18"/>
    </w:rPr>
  </w:style>
  <w:style w:type="character" w:customStyle="1" w:styleId="tmpztreemovearrow">
    <w:name w:val="tmpztreemove_arrow"/>
    <w:rPr>
      <w:bdr w:val="none" w:sz="0" w:space="0" w:color="auto"/>
    </w:rPr>
  </w:style>
  <w:style w:type="character" w:customStyle="1" w:styleId="ui-jqgrid-resize1">
    <w:name w:val="ui-jqgrid-resize1"/>
    <w:basedOn w:val="a0"/>
  </w:style>
  <w:style w:type="character" w:customStyle="1" w:styleId="input-icon2">
    <w:name w:val="input-icon2"/>
    <w:basedOn w:val="a0"/>
  </w:style>
  <w:style w:type="character" w:customStyle="1" w:styleId="before3">
    <w:name w:val="before3"/>
    <w:rPr>
      <w:rFonts w:ascii="FontAwesome" w:eastAsia="FontAwesome" w:hAnsi="FontAwesome" w:cs="FontAwesome" w:hint="default"/>
      <w:color w:val="888888"/>
      <w:sz w:val="18"/>
      <w:szCs w:val="18"/>
    </w:rPr>
  </w:style>
  <w:style w:type="character" w:customStyle="1" w:styleId="ui-jqgrid-resize">
    <w:name w:val="ui-jqgrid-resize"/>
    <w:basedOn w:val="a0"/>
  </w:style>
  <w:style w:type="character" w:customStyle="1" w:styleId="ui-icon29">
    <w:name w:val="ui-icon29"/>
    <w:basedOn w:val="a0"/>
  </w:style>
  <w:style w:type="character" w:customStyle="1" w:styleId="ui-icon28">
    <w:name w:val="ui-icon28"/>
    <w:basedOn w:val="a0"/>
  </w:style>
  <w:style w:type="character" w:customStyle="1" w:styleId="ui-icon30">
    <w:name w:val="ui-icon30"/>
    <w:basedOn w:val="a0"/>
  </w:style>
  <w:style w:type="paragraph" w:styleId="a6">
    <w:name w:val="annotation subject"/>
    <w:basedOn w:val="a3"/>
    <w:next w:val="a3"/>
    <w:link w:val="Char0"/>
    <w:rPr>
      <w:b/>
      <w:bCs/>
    </w:rPr>
  </w:style>
  <w:style w:type="paragraph" w:customStyle="1" w:styleId="10">
    <w:name w:val="列出段落1"/>
    <w:basedOn w:val="a"/>
    <w:qFormat/>
    <w:pPr>
      <w:ind w:firstLine="420"/>
    </w:pPr>
  </w:style>
  <w:style w:type="paragraph" w:customStyle="1" w:styleId="11">
    <w:name w:val="修订1"/>
    <w:rPr>
      <w:kern w:val="2"/>
      <w:sz w:val="21"/>
      <w:szCs w:val="24"/>
    </w:rPr>
  </w:style>
  <w:style w:type="paragraph" w:styleId="a9">
    <w:name w:val="header"/>
    <w:basedOn w:val="a"/>
    <w:link w:val="Char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Document Map"/>
    <w:basedOn w:val="a"/>
    <w:link w:val="Char1"/>
    <w:unhideWhenUsed/>
    <w:rPr>
      <w:rFonts w:ascii="宋体"/>
      <w:sz w:val="18"/>
      <w:szCs w:val="18"/>
    </w:rPr>
  </w:style>
  <w:style w:type="paragraph" w:styleId="ab">
    <w:name w:val="footer"/>
    <w:basedOn w:val="a"/>
    <w:link w:val="Char3"/>
    <w:pPr>
      <w:tabs>
        <w:tab w:val="center" w:pos="4153"/>
        <w:tab w:val="right" w:pos="8306"/>
      </w:tabs>
      <w:snapToGrid w:val="0"/>
      <w:jc w:val="left"/>
    </w:pPr>
    <w:rPr>
      <w:rFonts w:ascii="Calibri" w:hAnsi="Calibri"/>
      <w:kern w:val="0"/>
      <w:sz w:val="18"/>
      <w:szCs w:val="18"/>
    </w:rPr>
  </w:style>
  <w:style w:type="paragraph" w:styleId="ac">
    <w:name w:val="Balloon Text"/>
    <w:basedOn w:val="a"/>
    <w:link w:val="Char4"/>
    <w:rPr>
      <w:sz w:val="18"/>
      <w:szCs w:val="18"/>
    </w:rPr>
  </w:style>
  <w:style w:type="paragraph" w:styleId="a3">
    <w:name w:val="annotation text"/>
    <w:basedOn w:val="a"/>
    <w:link w:val="Char"/>
    <w:uiPriority w:val="99"/>
    <w:pPr>
      <w:jc w:val="left"/>
    </w:pPr>
  </w:style>
  <w:style w:type="paragraph" w:styleId="ad">
    <w:name w:val="Revision"/>
    <w:uiPriority w:val="99"/>
    <w:semiHidden/>
    <w:rPr>
      <w:kern w:val="2"/>
      <w:sz w:val="21"/>
      <w:szCs w:val="24"/>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41647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16471"/>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416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5">
    <w:name w:val="xl65"/>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7">
    <w:name w:val="font7"/>
    <w:basedOn w:val="a"/>
    <w:rsid w:val="008F5538"/>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rsid w:val="008F5538"/>
    <w:pPr>
      <w:widowControl/>
      <w:spacing w:before="100" w:beforeAutospacing="1" w:after="100" w:afterAutospacing="1"/>
      <w:jc w:val="center"/>
      <w:textAlignment w:val="center"/>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9760592">
      <w:bodyDiv w:val="1"/>
      <w:marLeft w:val="0"/>
      <w:marRight w:val="0"/>
      <w:marTop w:val="0"/>
      <w:marBottom w:val="0"/>
      <w:divBdr>
        <w:top w:val="none" w:sz="0" w:space="0" w:color="auto"/>
        <w:left w:val="none" w:sz="0" w:space="0" w:color="auto"/>
        <w:bottom w:val="none" w:sz="0" w:space="0" w:color="auto"/>
        <w:right w:val="none" w:sz="0" w:space="0" w:color="auto"/>
      </w:divBdr>
    </w:div>
    <w:div w:id="354113208">
      <w:bodyDiv w:val="1"/>
      <w:marLeft w:val="0"/>
      <w:marRight w:val="0"/>
      <w:marTop w:val="0"/>
      <w:marBottom w:val="0"/>
      <w:divBdr>
        <w:top w:val="none" w:sz="0" w:space="0" w:color="auto"/>
        <w:left w:val="none" w:sz="0" w:space="0" w:color="auto"/>
        <w:bottom w:val="none" w:sz="0" w:space="0" w:color="auto"/>
        <w:right w:val="none" w:sz="0" w:space="0" w:color="auto"/>
      </w:divBdr>
    </w:div>
    <w:div w:id="388959116">
      <w:bodyDiv w:val="1"/>
      <w:marLeft w:val="0"/>
      <w:marRight w:val="0"/>
      <w:marTop w:val="0"/>
      <w:marBottom w:val="0"/>
      <w:divBdr>
        <w:top w:val="none" w:sz="0" w:space="0" w:color="auto"/>
        <w:left w:val="none" w:sz="0" w:space="0" w:color="auto"/>
        <w:bottom w:val="none" w:sz="0" w:space="0" w:color="auto"/>
        <w:right w:val="none" w:sz="0" w:space="0" w:color="auto"/>
      </w:divBdr>
    </w:div>
    <w:div w:id="482165811">
      <w:bodyDiv w:val="1"/>
      <w:marLeft w:val="0"/>
      <w:marRight w:val="0"/>
      <w:marTop w:val="0"/>
      <w:marBottom w:val="0"/>
      <w:divBdr>
        <w:top w:val="none" w:sz="0" w:space="0" w:color="auto"/>
        <w:left w:val="none" w:sz="0" w:space="0" w:color="auto"/>
        <w:bottom w:val="none" w:sz="0" w:space="0" w:color="auto"/>
        <w:right w:val="none" w:sz="0" w:space="0" w:color="auto"/>
      </w:divBdr>
    </w:div>
    <w:div w:id="627012627">
      <w:bodyDiv w:val="1"/>
      <w:marLeft w:val="0"/>
      <w:marRight w:val="0"/>
      <w:marTop w:val="0"/>
      <w:marBottom w:val="0"/>
      <w:divBdr>
        <w:top w:val="none" w:sz="0" w:space="0" w:color="auto"/>
        <w:left w:val="none" w:sz="0" w:space="0" w:color="auto"/>
        <w:bottom w:val="none" w:sz="0" w:space="0" w:color="auto"/>
        <w:right w:val="none" w:sz="0" w:space="0" w:color="auto"/>
      </w:divBdr>
    </w:div>
    <w:div w:id="630210485">
      <w:bodyDiv w:val="1"/>
      <w:marLeft w:val="0"/>
      <w:marRight w:val="0"/>
      <w:marTop w:val="0"/>
      <w:marBottom w:val="0"/>
      <w:divBdr>
        <w:top w:val="none" w:sz="0" w:space="0" w:color="auto"/>
        <w:left w:val="none" w:sz="0" w:space="0" w:color="auto"/>
        <w:bottom w:val="none" w:sz="0" w:space="0" w:color="auto"/>
        <w:right w:val="none" w:sz="0" w:space="0" w:color="auto"/>
      </w:divBdr>
    </w:div>
    <w:div w:id="762652568">
      <w:bodyDiv w:val="1"/>
      <w:marLeft w:val="0"/>
      <w:marRight w:val="0"/>
      <w:marTop w:val="0"/>
      <w:marBottom w:val="0"/>
      <w:divBdr>
        <w:top w:val="none" w:sz="0" w:space="0" w:color="auto"/>
        <w:left w:val="none" w:sz="0" w:space="0" w:color="auto"/>
        <w:bottom w:val="none" w:sz="0" w:space="0" w:color="auto"/>
        <w:right w:val="none" w:sz="0" w:space="0" w:color="auto"/>
      </w:divBdr>
    </w:div>
    <w:div w:id="833566320">
      <w:bodyDiv w:val="1"/>
      <w:marLeft w:val="0"/>
      <w:marRight w:val="0"/>
      <w:marTop w:val="0"/>
      <w:marBottom w:val="0"/>
      <w:divBdr>
        <w:top w:val="none" w:sz="0" w:space="0" w:color="auto"/>
        <w:left w:val="none" w:sz="0" w:space="0" w:color="auto"/>
        <w:bottom w:val="none" w:sz="0" w:space="0" w:color="auto"/>
        <w:right w:val="none" w:sz="0" w:space="0" w:color="auto"/>
      </w:divBdr>
    </w:div>
    <w:div w:id="921841578">
      <w:bodyDiv w:val="1"/>
      <w:marLeft w:val="0"/>
      <w:marRight w:val="0"/>
      <w:marTop w:val="0"/>
      <w:marBottom w:val="0"/>
      <w:divBdr>
        <w:top w:val="none" w:sz="0" w:space="0" w:color="auto"/>
        <w:left w:val="none" w:sz="0" w:space="0" w:color="auto"/>
        <w:bottom w:val="none" w:sz="0" w:space="0" w:color="auto"/>
        <w:right w:val="none" w:sz="0" w:space="0" w:color="auto"/>
      </w:divBdr>
    </w:div>
    <w:div w:id="1207832937">
      <w:bodyDiv w:val="1"/>
      <w:marLeft w:val="0"/>
      <w:marRight w:val="0"/>
      <w:marTop w:val="0"/>
      <w:marBottom w:val="0"/>
      <w:divBdr>
        <w:top w:val="none" w:sz="0" w:space="0" w:color="auto"/>
        <w:left w:val="none" w:sz="0" w:space="0" w:color="auto"/>
        <w:bottom w:val="none" w:sz="0" w:space="0" w:color="auto"/>
        <w:right w:val="none" w:sz="0" w:space="0" w:color="auto"/>
      </w:divBdr>
    </w:div>
    <w:div w:id="1235314900">
      <w:bodyDiv w:val="1"/>
      <w:marLeft w:val="0"/>
      <w:marRight w:val="0"/>
      <w:marTop w:val="0"/>
      <w:marBottom w:val="0"/>
      <w:divBdr>
        <w:top w:val="none" w:sz="0" w:space="0" w:color="auto"/>
        <w:left w:val="none" w:sz="0" w:space="0" w:color="auto"/>
        <w:bottom w:val="none" w:sz="0" w:space="0" w:color="auto"/>
        <w:right w:val="none" w:sz="0" w:space="0" w:color="auto"/>
      </w:divBdr>
    </w:div>
    <w:div w:id="1245651219">
      <w:bodyDiv w:val="1"/>
      <w:marLeft w:val="0"/>
      <w:marRight w:val="0"/>
      <w:marTop w:val="0"/>
      <w:marBottom w:val="0"/>
      <w:divBdr>
        <w:top w:val="none" w:sz="0" w:space="0" w:color="auto"/>
        <w:left w:val="none" w:sz="0" w:space="0" w:color="auto"/>
        <w:bottom w:val="none" w:sz="0" w:space="0" w:color="auto"/>
        <w:right w:val="none" w:sz="0" w:space="0" w:color="auto"/>
      </w:divBdr>
    </w:div>
    <w:div w:id="1262255013">
      <w:bodyDiv w:val="1"/>
      <w:marLeft w:val="0"/>
      <w:marRight w:val="0"/>
      <w:marTop w:val="0"/>
      <w:marBottom w:val="0"/>
      <w:divBdr>
        <w:top w:val="none" w:sz="0" w:space="0" w:color="auto"/>
        <w:left w:val="none" w:sz="0" w:space="0" w:color="auto"/>
        <w:bottom w:val="none" w:sz="0" w:space="0" w:color="auto"/>
        <w:right w:val="none" w:sz="0" w:space="0" w:color="auto"/>
      </w:divBdr>
    </w:div>
    <w:div w:id="1312245865">
      <w:bodyDiv w:val="1"/>
      <w:marLeft w:val="0"/>
      <w:marRight w:val="0"/>
      <w:marTop w:val="0"/>
      <w:marBottom w:val="0"/>
      <w:divBdr>
        <w:top w:val="none" w:sz="0" w:space="0" w:color="auto"/>
        <w:left w:val="none" w:sz="0" w:space="0" w:color="auto"/>
        <w:bottom w:val="none" w:sz="0" w:space="0" w:color="auto"/>
        <w:right w:val="none" w:sz="0" w:space="0" w:color="auto"/>
      </w:divBdr>
    </w:div>
    <w:div w:id="1462727604">
      <w:bodyDiv w:val="1"/>
      <w:marLeft w:val="0"/>
      <w:marRight w:val="0"/>
      <w:marTop w:val="0"/>
      <w:marBottom w:val="0"/>
      <w:divBdr>
        <w:top w:val="none" w:sz="0" w:space="0" w:color="auto"/>
        <w:left w:val="none" w:sz="0" w:space="0" w:color="auto"/>
        <w:bottom w:val="none" w:sz="0" w:space="0" w:color="auto"/>
        <w:right w:val="none" w:sz="0" w:space="0" w:color="auto"/>
      </w:divBdr>
    </w:div>
    <w:div w:id="1499464761">
      <w:bodyDiv w:val="1"/>
      <w:marLeft w:val="0"/>
      <w:marRight w:val="0"/>
      <w:marTop w:val="0"/>
      <w:marBottom w:val="0"/>
      <w:divBdr>
        <w:top w:val="none" w:sz="0" w:space="0" w:color="auto"/>
        <w:left w:val="none" w:sz="0" w:space="0" w:color="auto"/>
        <w:bottom w:val="none" w:sz="0" w:space="0" w:color="auto"/>
        <w:right w:val="none" w:sz="0" w:space="0" w:color="auto"/>
      </w:divBdr>
    </w:div>
    <w:div w:id="1650161559">
      <w:bodyDiv w:val="1"/>
      <w:marLeft w:val="0"/>
      <w:marRight w:val="0"/>
      <w:marTop w:val="0"/>
      <w:marBottom w:val="0"/>
      <w:divBdr>
        <w:top w:val="none" w:sz="0" w:space="0" w:color="auto"/>
        <w:left w:val="none" w:sz="0" w:space="0" w:color="auto"/>
        <w:bottom w:val="none" w:sz="0" w:space="0" w:color="auto"/>
        <w:right w:val="none" w:sz="0" w:space="0" w:color="auto"/>
      </w:divBdr>
    </w:div>
    <w:div w:id="1740442673">
      <w:bodyDiv w:val="1"/>
      <w:marLeft w:val="0"/>
      <w:marRight w:val="0"/>
      <w:marTop w:val="0"/>
      <w:marBottom w:val="0"/>
      <w:divBdr>
        <w:top w:val="none" w:sz="0" w:space="0" w:color="auto"/>
        <w:left w:val="none" w:sz="0" w:space="0" w:color="auto"/>
        <w:bottom w:val="none" w:sz="0" w:space="0" w:color="auto"/>
        <w:right w:val="none" w:sz="0" w:space="0" w:color="auto"/>
      </w:divBdr>
    </w:div>
    <w:div w:id="1765606782">
      <w:bodyDiv w:val="1"/>
      <w:marLeft w:val="0"/>
      <w:marRight w:val="0"/>
      <w:marTop w:val="0"/>
      <w:marBottom w:val="0"/>
      <w:divBdr>
        <w:top w:val="none" w:sz="0" w:space="0" w:color="auto"/>
        <w:left w:val="none" w:sz="0" w:space="0" w:color="auto"/>
        <w:bottom w:val="none" w:sz="0" w:space="0" w:color="auto"/>
        <w:right w:val="none" w:sz="0" w:space="0" w:color="auto"/>
      </w:divBdr>
    </w:div>
    <w:div w:id="1770080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unds.com.cn/"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6553</Characters>
  <Application>Microsoft Office Word</Application>
  <DocSecurity>4</DocSecurity>
  <Lines>54</Lines>
  <Paragraphs>15</Paragraphs>
  <ScaleCrop>false</ScaleCrop>
  <Company>易方达基金管理有限公司</Company>
  <LinksUpToDate>false</LinksUpToDate>
  <CharactersWithSpaces>7687</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孙奕萍</dc:creator>
  <cp:keywords/>
  <cp:lastModifiedBy>ZHONGM</cp:lastModifiedBy>
  <cp:revision>2</cp:revision>
  <cp:lastPrinted>2017-07-18T01:49:00Z</cp:lastPrinted>
  <dcterms:created xsi:type="dcterms:W3CDTF">2020-08-23T16:03:00Z</dcterms:created>
  <dcterms:modified xsi:type="dcterms:W3CDTF">2020-08-23T16:03:00Z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